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297"/>
        <w:gridCol w:w="2806"/>
      </w:tblGrid>
      <w:tr w:rsidR="002F5C5E" w:rsidRPr="009E2B84" w:rsidTr="00290A91">
        <w:trPr>
          <w:gridAfter w:val="1"/>
          <w:wAfter w:w="2806" w:type="dxa"/>
          <w:cantSplit/>
          <w:trHeight w:val="569"/>
        </w:trPr>
        <w:tc>
          <w:tcPr>
            <w:tcW w:w="4786" w:type="dxa"/>
            <w:shd w:val="clear" w:color="auto" w:fill="BFBFBF"/>
            <w:vAlign w:val="center"/>
          </w:tcPr>
          <w:p w:rsidR="002F5C5E" w:rsidRPr="009E2B84" w:rsidRDefault="00DB25A7"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97" w:type="dxa"/>
            <w:shd w:val="clear" w:color="auto" w:fill="BFBFBF"/>
            <w:vAlign w:val="center"/>
          </w:tcPr>
          <w:p w:rsidR="002F5C5E" w:rsidRPr="009E2B84" w:rsidRDefault="002F5C5E" w:rsidP="00AC4A99">
            <w:pPr>
              <w:jc w:val="center"/>
              <w:rPr>
                <w:b/>
              </w:rPr>
            </w:pPr>
            <w:r w:rsidRPr="009E2B84">
              <w:rPr>
                <w:b/>
              </w:rPr>
              <w:t>ON</w:t>
            </w:r>
          </w:p>
        </w:tc>
      </w:tr>
      <w:tr w:rsidR="002F5C5E" w:rsidRPr="009E2B84" w:rsidTr="00290A91">
        <w:trPr>
          <w:gridAfter w:val="1"/>
          <w:wAfter w:w="2806" w:type="dxa"/>
          <w:cantSplit/>
          <w:trHeight w:val="654"/>
        </w:trPr>
        <w:tc>
          <w:tcPr>
            <w:tcW w:w="4786" w:type="dxa"/>
            <w:tcBorders>
              <w:bottom w:val="nil"/>
            </w:tcBorders>
            <w:vAlign w:val="center"/>
          </w:tcPr>
          <w:p w:rsidR="002F5C5E" w:rsidRPr="00BE2A3F" w:rsidRDefault="00414C88" w:rsidP="00AC4A99">
            <w:pPr>
              <w:jc w:val="center"/>
              <w:rPr>
                <w:b/>
                <w:szCs w:val="22"/>
              </w:rPr>
            </w:pPr>
            <w:r>
              <w:rPr>
                <w:b/>
                <w:sz w:val="24"/>
                <w:szCs w:val="24"/>
              </w:rPr>
              <w:t>Governance Committee</w:t>
            </w:r>
          </w:p>
        </w:tc>
        <w:tc>
          <w:tcPr>
            <w:tcW w:w="2297" w:type="dxa"/>
            <w:tcBorders>
              <w:bottom w:val="nil"/>
            </w:tcBorders>
            <w:vAlign w:val="center"/>
          </w:tcPr>
          <w:p w:rsidR="002F5C5E" w:rsidRPr="009E2B84" w:rsidRDefault="00414C88" w:rsidP="003C09F2">
            <w:pPr>
              <w:jc w:val="center"/>
              <w:rPr>
                <w:b/>
              </w:rPr>
            </w:pPr>
            <w:r>
              <w:rPr>
                <w:b/>
              </w:rPr>
              <w:t>2</w:t>
            </w:r>
            <w:r w:rsidR="003C09F2">
              <w:rPr>
                <w:b/>
              </w:rPr>
              <w:t>9</w:t>
            </w:r>
            <w:r w:rsidRPr="00414C88">
              <w:rPr>
                <w:b/>
                <w:vertAlign w:val="superscript"/>
              </w:rPr>
              <w:t>th</w:t>
            </w:r>
            <w:r>
              <w:rPr>
                <w:b/>
              </w:rPr>
              <w:t xml:space="preserve"> May 2018</w:t>
            </w:r>
          </w:p>
        </w:tc>
      </w:tr>
      <w:tr w:rsidR="002F5C5E" w:rsidRPr="009E2B84" w:rsidTr="00290A91">
        <w:trPr>
          <w:gridAfter w:val="1"/>
          <w:wAfter w:w="2806" w:type="dxa"/>
          <w:cantSplit/>
          <w:trHeight w:val="560"/>
        </w:trPr>
        <w:tc>
          <w:tcPr>
            <w:tcW w:w="7083" w:type="dxa"/>
            <w:gridSpan w:val="2"/>
            <w:tcBorders>
              <w:left w:val="nil"/>
              <w:right w:val="nil"/>
            </w:tcBorders>
          </w:tcPr>
          <w:p w:rsidR="002F5C5E" w:rsidRPr="009E2B84" w:rsidRDefault="002F5C5E" w:rsidP="003902A2">
            <w:pPr>
              <w:jc w:val="right"/>
              <w:rPr>
                <w:sz w:val="8"/>
              </w:rPr>
            </w:pPr>
          </w:p>
        </w:tc>
      </w:tr>
      <w:tr w:rsidR="0047741D" w:rsidRPr="009E2B84" w:rsidTr="00290A91">
        <w:trPr>
          <w:cantSplit/>
        </w:trPr>
        <w:tc>
          <w:tcPr>
            <w:tcW w:w="7083" w:type="dxa"/>
            <w:gridSpan w:val="2"/>
            <w:shd w:val="clear" w:color="auto" w:fill="BFBFBF"/>
            <w:vAlign w:val="center"/>
          </w:tcPr>
          <w:p w:rsidR="0047741D" w:rsidRPr="009E2B84" w:rsidRDefault="0047741D" w:rsidP="00E2196F">
            <w:pPr>
              <w:jc w:val="center"/>
              <w:rPr>
                <w:b/>
              </w:rPr>
            </w:pPr>
            <w:r w:rsidRPr="009E2B84">
              <w:rPr>
                <w:b/>
              </w:rPr>
              <w:t>TITLE</w:t>
            </w:r>
          </w:p>
        </w:tc>
        <w:tc>
          <w:tcPr>
            <w:tcW w:w="2806" w:type="dxa"/>
            <w:shd w:val="clear" w:color="auto" w:fill="BFBFBF"/>
            <w:vAlign w:val="center"/>
          </w:tcPr>
          <w:p w:rsidR="0047741D" w:rsidRPr="009E2B84" w:rsidRDefault="0047741D" w:rsidP="00E2196F">
            <w:pPr>
              <w:jc w:val="center"/>
              <w:rPr>
                <w:b/>
              </w:rPr>
            </w:pPr>
            <w:r>
              <w:rPr>
                <w:b/>
              </w:rPr>
              <w:t>REPORT OF</w:t>
            </w:r>
          </w:p>
        </w:tc>
      </w:tr>
      <w:tr w:rsidR="0047741D" w:rsidRPr="009E2B84" w:rsidTr="00290A91">
        <w:trPr>
          <w:cantSplit/>
          <w:trHeight w:val="667"/>
        </w:trPr>
        <w:tc>
          <w:tcPr>
            <w:tcW w:w="7083" w:type="dxa"/>
            <w:gridSpan w:val="2"/>
            <w:vAlign w:val="center"/>
          </w:tcPr>
          <w:p w:rsidR="0047741D" w:rsidRPr="009E2B84" w:rsidRDefault="00414C88" w:rsidP="00414C88">
            <w:pPr>
              <w:jc w:val="center"/>
              <w:rPr>
                <w:b/>
              </w:rPr>
            </w:pPr>
            <w:r>
              <w:rPr>
                <w:b/>
              </w:rPr>
              <w:t>Internal Audit Annual Report 2017-18</w:t>
            </w:r>
          </w:p>
        </w:tc>
        <w:tc>
          <w:tcPr>
            <w:tcW w:w="2806" w:type="dxa"/>
            <w:vAlign w:val="center"/>
          </w:tcPr>
          <w:p w:rsidR="0047741D" w:rsidRPr="00414C88" w:rsidRDefault="00414C88" w:rsidP="00C903AC">
            <w:pPr>
              <w:rPr>
                <w:b/>
              </w:rPr>
            </w:pPr>
            <w:r w:rsidRPr="00414C88">
              <w:rPr>
                <w:b/>
              </w:rPr>
              <w:t>G Barclay</w:t>
            </w:r>
            <w:r w:rsidR="00642C5F">
              <w:rPr>
                <w:b/>
              </w:rPr>
              <w:t xml:space="preserve"> / D Highton</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835"/>
      </w:tblGrid>
      <w:tr w:rsidR="0047741D" w:rsidRPr="009C1143" w:rsidTr="00642C5F">
        <w:tc>
          <w:tcPr>
            <w:tcW w:w="7083" w:type="dxa"/>
            <w:shd w:val="clear" w:color="auto" w:fill="auto"/>
          </w:tcPr>
          <w:p w:rsidR="0047741D" w:rsidRPr="009C1143" w:rsidRDefault="0047741D" w:rsidP="00E2196F">
            <w:pPr>
              <w:rPr>
                <w:szCs w:val="22"/>
              </w:rPr>
            </w:pPr>
            <w:r>
              <w:rPr>
                <w:szCs w:val="22"/>
              </w:rPr>
              <w:t>Is this report confidential?</w:t>
            </w:r>
          </w:p>
        </w:tc>
        <w:tc>
          <w:tcPr>
            <w:tcW w:w="2835" w:type="dxa"/>
            <w:shd w:val="clear" w:color="auto" w:fill="auto"/>
          </w:tcPr>
          <w:p w:rsidR="0047741D" w:rsidRPr="00F3057A" w:rsidRDefault="0047741D" w:rsidP="00E2196F">
            <w:pPr>
              <w:rPr>
                <w:b/>
                <w:szCs w:val="22"/>
              </w:rPr>
            </w:pPr>
            <w:r w:rsidRPr="00F3057A">
              <w:rPr>
                <w:b/>
                <w:szCs w:val="22"/>
              </w:rPr>
              <w:t xml:space="preserve">No </w:t>
            </w:r>
          </w:p>
          <w:p w:rsidR="0047741D" w:rsidRPr="009C1143" w:rsidRDefault="0047741D" w:rsidP="00414C88">
            <w:pPr>
              <w:rPr>
                <w:szCs w:val="22"/>
              </w:rPr>
            </w:pPr>
          </w:p>
        </w:tc>
      </w:tr>
    </w:tbl>
    <w:p w:rsidR="0047741D" w:rsidRDefault="0047741D" w:rsidP="002F5C5E">
      <w:pPr>
        <w:rPr>
          <w:sz w:val="16"/>
          <w:szCs w:val="16"/>
        </w:rPr>
      </w:pPr>
    </w:p>
    <w:p w:rsidR="002F5C5E" w:rsidRDefault="002F5C5E" w:rsidP="002F5C5E">
      <w:pPr>
        <w:keepNext/>
        <w:numPr>
          <w:ilvl w:val="0"/>
          <w:numId w:val="8"/>
        </w:numPr>
        <w:outlineLvl w:val="0"/>
        <w:rPr>
          <w:b/>
          <w:szCs w:val="22"/>
        </w:rPr>
      </w:pPr>
      <w:r w:rsidRPr="009C1143">
        <w:rPr>
          <w:b/>
          <w:szCs w:val="22"/>
        </w:rPr>
        <w:t>PURPOSE</w:t>
      </w:r>
      <w:r w:rsidR="00D711BE">
        <w:rPr>
          <w:b/>
          <w:szCs w:val="22"/>
        </w:rPr>
        <w:t>S</w:t>
      </w:r>
      <w:r w:rsidRPr="009C1143">
        <w:rPr>
          <w:b/>
          <w:szCs w:val="22"/>
        </w:rPr>
        <w:t xml:space="preserve"> OF THE REPORT  </w:t>
      </w:r>
    </w:p>
    <w:p w:rsidR="00414C88" w:rsidRDefault="00414C88" w:rsidP="00414C88">
      <w:pPr>
        <w:keepNext/>
        <w:ind w:left="360"/>
        <w:outlineLvl w:val="0"/>
        <w:rPr>
          <w:b/>
          <w:szCs w:val="22"/>
        </w:rPr>
      </w:pPr>
    </w:p>
    <w:p w:rsidR="00414C88" w:rsidRDefault="00414C88" w:rsidP="00414C88">
      <w:pPr>
        <w:jc w:val="both"/>
      </w:pPr>
      <w:r>
        <w:tab/>
        <w:t>The main purposes of this report are:</w:t>
      </w:r>
    </w:p>
    <w:p w:rsidR="00D711BE" w:rsidRDefault="00D711BE" w:rsidP="00414C88">
      <w:pPr>
        <w:jc w:val="both"/>
      </w:pPr>
    </w:p>
    <w:p w:rsidR="00414C88" w:rsidRPr="00C96594" w:rsidRDefault="00414C88" w:rsidP="00414C88">
      <w:pPr>
        <w:numPr>
          <w:ilvl w:val="0"/>
          <w:numId w:val="16"/>
        </w:numPr>
        <w:jc w:val="both"/>
      </w:pPr>
      <w:r>
        <w:t xml:space="preserve">to summarise the work undertaken by the Internal Audit Service </w:t>
      </w:r>
      <w:r w:rsidRPr="00C96594">
        <w:t>from April 201</w:t>
      </w:r>
      <w:r>
        <w:t>7</w:t>
      </w:r>
      <w:r w:rsidRPr="00C96594">
        <w:t xml:space="preserve"> to March 201</w:t>
      </w:r>
      <w:r>
        <w:t>8</w:t>
      </w:r>
      <w:r w:rsidRPr="00C96594">
        <w:t>;</w:t>
      </w:r>
    </w:p>
    <w:p w:rsidR="00414C88" w:rsidRDefault="00414C88" w:rsidP="00414C88">
      <w:pPr>
        <w:jc w:val="both"/>
      </w:pPr>
    </w:p>
    <w:p w:rsidR="00414C88" w:rsidRDefault="00414C88" w:rsidP="00414C88">
      <w:pPr>
        <w:numPr>
          <w:ilvl w:val="0"/>
          <w:numId w:val="16"/>
        </w:numPr>
        <w:jc w:val="both"/>
      </w:pPr>
      <w:r>
        <w:t>to give an opinion on the adequacy and effectiveness of the Council’s framework of control, risk management and governance;</w:t>
      </w:r>
    </w:p>
    <w:p w:rsidR="00414C88" w:rsidRDefault="00414C88" w:rsidP="00414C88">
      <w:pPr>
        <w:jc w:val="both"/>
      </w:pPr>
    </w:p>
    <w:p w:rsidR="00D711BE" w:rsidRDefault="00414C88" w:rsidP="00414C88">
      <w:pPr>
        <w:pStyle w:val="ListParagraph"/>
        <w:numPr>
          <w:ilvl w:val="0"/>
          <w:numId w:val="16"/>
        </w:numPr>
        <w:spacing w:after="0" w:line="240" w:lineRule="auto"/>
        <w:contextualSpacing w:val="0"/>
        <w:jc w:val="both"/>
        <w:rPr>
          <w:rFonts w:ascii="Arial" w:hAnsi="Arial" w:cs="Arial"/>
        </w:rPr>
      </w:pPr>
      <w:r w:rsidRPr="001015BB">
        <w:rPr>
          <w:rFonts w:ascii="Arial" w:hAnsi="Arial" w:cs="Arial"/>
        </w:rPr>
        <w:t>to give an appraisal of the Internal Audit Service’s performance</w:t>
      </w:r>
      <w:r w:rsidR="00D711BE">
        <w:rPr>
          <w:rFonts w:ascii="Arial" w:hAnsi="Arial" w:cs="Arial"/>
        </w:rPr>
        <w:t xml:space="preserve"> during the year;</w:t>
      </w:r>
    </w:p>
    <w:p w:rsidR="00D711BE" w:rsidRPr="00D711BE" w:rsidRDefault="00D711BE" w:rsidP="00D711BE">
      <w:pPr>
        <w:pStyle w:val="ListParagraph"/>
        <w:rPr>
          <w:rFonts w:ascii="Arial" w:hAnsi="Arial" w:cs="Arial"/>
        </w:rPr>
      </w:pPr>
    </w:p>
    <w:p w:rsidR="00D711BE" w:rsidRDefault="00D711BE" w:rsidP="00414C88">
      <w:pPr>
        <w:pStyle w:val="ListParagraph"/>
        <w:numPr>
          <w:ilvl w:val="0"/>
          <w:numId w:val="16"/>
        </w:numPr>
        <w:spacing w:after="0" w:line="240" w:lineRule="auto"/>
        <w:contextualSpacing w:val="0"/>
        <w:jc w:val="both"/>
        <w:rPr>
          <w:rFonts w:ascii="Arial" w:hAnsi="Arial" w:cs="Arial"/>
        </w:rPr>
      </w:pPr>
      <w:r>
        <w:rPr>
          <w:rFonts w:ascii="Arial" w:hAnsi="Arial" w:cs="Arial"/>
        </w:rPr>
        <w:t>to summarise the results of an independent peer review of the Internal Audit Service undertaken by the Heads of Audit of 2 Lancashire authorities.</w:t>
      </w:r>
    </w:p>
    <w:p w:rsidR="00414C88" w:rsidRPr="00D711BE" w:rsidRDefault="00D711BE" w:rsidP="00D711BE">
      <w:pPr>
        <w:jc w:val="both"/>
        <w:rPr>
          <w:rFonts w:cs="Arial"/>
        </w:rPr>
      </w:pPr>
      <w:r w:rsidRPr="00D711BE">
        <w:rPr>
          <w:rFonts w:cs="Arial"/>
        </w:rPr>
        <w:t xml:space="preserve">  </w:t>
      </w:r>
    </w:p>
    <w:p w:rsidR="00414C88" w:rsidRPr="009C1143" w:rsidRDefault="00414C88" w:rsidP="00414C88">
      <w:pPr>
        <w:rPr>
          <w:sz w:val="16"/>
          <w:szCs w:val="16"/>
        </w:rPr>
      </w:pPr>
    </w:p>
    <w:p w:rsidR="002F5C5E" w:rsidRDefault="002F5C5E" w:rsidP="002F5C5E">
      <w:pPr>
        <w:keepNext/>
        <w:numPr>
          <w:ilvl w:val="0"/>
          <w:numId w:val="8"/>
        </w:numPr>
        <w:outlineLvl w:val="0"/>
        <w:rPr>
          <w:b/>
          <w:szCs w:val="22"/>
        </w:rPr>
      </w:pPr>
      <w:r w:rsidRPr="009C1143">
        <w:rPr>
          <w:b/>
          <w:szCs w:val="22"/>
        </w:rPr>
        <w:t>RECOMMENDATIONS</w:t>
      </w:r>
    </w:p>
    <w:p w:rsidR="000B5251" w:rsidRPr="009C1143" w:rsidRDefault="000B5251" w:rsidP="000B5251">
      <w:pPr>
        <w:keepNext/>
        <w:ind w:left="360"/>
        <w:outlineLvl w:val="0"/>
        <w:rPr>
          <w:b/>
          <w:szCs w:val="22"/>
        </w:rPr>
      </w:pPr>
    </w:p>
    <w:p w:rsidR="00414C88" w:rsidRPr="009C1143" w:rsidRDefault="002F5C5E" w:rsidP="00290A91">
      <w:pPr>
        <w:keepNext/>
        <w:outlineLvl w:val="0"/>
        <w:rPr>
          <w:b/>
          <w:szCs w:val="22"/>
        </w:rPr>
      </w:pPr>
      <w:r w:rsidRPr="00525728">
        <w:rPr>
          <w:szCs w:val="22"/>
        </w:rPr>
        <w:t>2.1</w:t>
      </w:r>
      <w:r w:rsidR="00525728">
        <w:rPr>
          <w:i/>
          <w:color w:val="2E74B5"/>
          <w:szCs w:val="22"/>
        </w:rPr>
        <w:tab/>
        <w:t xml:space="preserve"> </w:t>
      </w:r>
      <w:r w:rsidR="00414C88">
        <w:t xml:space="preserve">That the Internal Audit Annual Report for </w:t>
      </w:r>
      <w:r w:rsidR="00414C88" w:rsidRPr="00C96594">
        <w:t>201</w:t>
      </w:r>
      <w:r w:rsidR="00414C88">
        <w:t>7</w:t>
      </w:r>
      <w:r w:rsidR="00414C88" w:rsidRPr="00C96594">
        <w:t>/1</w:t>
      </w:r>
      <w:r w:rsidR="00414C88">
        <w:t>8</w:t>
      </w:r>
      <w:r w:rsidR="00414C88" w:rsidRPr="00C96594">
        <w:t xml:space="preserve"> be </w:t>
      </w:r>
      <w:r w:rsidR="00414C88">
        <w:t>noted.</w:t>
      </w:r>
    </w:p>
    <w:p w:rsidR="002F5C5E" w:rsidRPr="009C1143" w:rsidRDefault="002F5C5E" w:rsidP="00525728">
      <w:pPr>
        <w:ind w:left="360" w:hanging="360"/>
        <w:rPr>
          <w:i/>
          <w:color w:val="2E74B5"/>
          <w:szCs w:val="22"/>
        </w:rPr>
      </w:pPr>
    </w:p>
    <w:p w:rsidR="002F5C5E" w:rsidRPr="009C1143" w:rsidRDefault="002F5C5E" w:rsidP="002F5C5E">
      <w:pPr>
        <w:rPr>
          <w:sz w:val="16"/>
          <w:szCs w:val="16"/>
        </w:rPr>
      </w:pPr>
    </w:p>
    <w:p w:rsidR="002F5C5E" w:rsidRDefault="002F5C5E" w:rsidP="000B5251">
      <w:pPr>
        <w:keepNext/>
        <w:numPr>
          <w:ilvl w:val="0"/>
          <w:numId w:val="8"/>
        </w:numPr>
        <w:outlineLvl w:val="0"/>
        <w:rPr>
          <w:b/>
          <w:szCs w:val="22"/>
        </w:rPr>
      </w:pPr>
      <w:r w:rsidRPr="009C1143">
        <w:rPr>
          <w:b/>
          <w:szCs w:val="22"/>
        </w:rPr>
        <w:t xml:space="preserve">EXECUTIVE SUMMARY </w:t>
      </w:r>
    </w:p>
    <w:p w:rsidR="00414C88" w:rsidRDefault="00414C88" w:rsidP="00414C88">
      <w:pPr>
        <w:keepNext/>
        <w:ind w:left="360"/>
        <w:outlineLvl w:val="0"/>
        <w:rPr>
          <w:b/>
          <w:szCs w:val="22"/>
        </w:rPr>
      </w:pPr>
    </w:p>
    <w:p w:rsidR="00414C88" w:rsidRPr="00A212BB" w:rsidRDefault="00414C88" w:rsidP="00414C88">
      <w:pPr>
        <w:jc w:val="both"/>
        <w:rPr>
          <w:rFonts w:cs="Arial"/>
        </w:rPr>
      </w:pPr>
      <w:r w:rsidRPr="00414C88">
        <w:rPr>
          <w:szCs w:val="22"/>
        </w:rPr>
        <w:t>3.1</w:t>
      </w:r>
      <w:r>
        <w:rPr>
          <w:b/>
          <w:szCs w:val="22"/>
        </w:rPr>
        <w:tab/>
      </w:r>
      <w:r w:rsidRPr="00A212BB">
        <w:t>The Public Sector I</w:t>
      </w:r>
      <w:r w:rsidR="00D711BE">
        <w:t>nternal Audit Standards require</w:t>
      </w:r>
      <w:r w:rsidRPr="00A212BB">
        <w:t xml:space="preserve"> the Head of Shared Assurance to </w:t>
      </w:r>
      <w:r>
        <w:tab/>
      </w:r>
      <w:r w:rsidRPr="00A212BB">
        <w:t xml:space="preserve">provide an opinion on the </w:t>
      </w:r>
      <w:r w:rsidRPr="00A212BB">
        <w:rPr>
          <w:rFonts w:cs="Arial"/>
        </w:rPr>
        <w:t xml:space="preserve">overall adequacy and effectiveness of the organisation’s </w:t>
      </w:r>
      <w:r>
        <w:rPr>
          <w:rFonts w:cs="Arial"/>
        </w:rPr>
        <w:tab/>
      </w:r>
      <w:r w:rsidRPr="00A212BB">
        <w:rPr>
          <w:rFonts w:cs="Arial"/>
        </w:rPr>
        <w:t xml:space="preserve">framework of control, risk management and governance.  </w:t>
      </w:r>
    </w:p>
    <w:p w:rsidR="00414C88" w:rsidRPr="00A212BB" w:rsidRDefault="00414C88" w:rsidP="00414C88">
      <w:pPr>
        <w:jc w:val="both"/>
        <w:rPr>
          <w:rFonts w:cs="Arial"/>
        </w:rPr>
      </w:pPr>
    </w:p>
    <w:p w:rsidR="000F3953" w:rsidRPr="000F3953" w:rsidRDefault="000F3953" w:rsidP="000F3953">
      <w:pPr>
        <w:ind w:left="709"/>
        <w:jc w:val="both"/>
        <w:rPr>
          <w:b/>
        </w:rPr>
      </w:pPr>
      <w:r w:rsidRPr="000F3953">
        <w:rPr>
          <w:b/>
        </w:rPr>
        <w:t>Control</w:t>
      </w:r>
      <w:r w:rsidRPr="000F3953">
        <w:t xml:space="preserve"> – The Internal Audit Service provides an independent opinion on the adequacy of the internal control system. All recommendations for improvement are agreed with Senior Management and overall progress is reported to the Governance Committee. No Internal Audit reports with a limited assurance controls assurance rating were issued during 2017/18.</w:t>
      </w:r>
    </w:p>
    <w:p w:rsidR="000F3953" w:rsidRPr="000F3953" w:rsidRDefault="000F3953" w:rsidP="000F3953">
      <w:pPr>
        <w:jc w:val="both"/>
      </w:pPr>
    </w:p>
    <w:p w:rsidR="000F3953" w:rsidRPr="000F3953" w:rsidRDefault="000F3953" w:rsidP="000F3953">
      <w:pPr>
        <w:ind w:left="709"/>
        <w:jc w:val="both"/>
        <w:rPr>
          <w:b/>
        </w:rPr>
      </w:pPr>
      <w:r w:rsidRPr="000F3953">
        <w:rPr>
          <w:b/>
        </w:rPr>
        <w:t>Risk Management</w:t>
      </w:r>
      <w:r w:rsidRPr="000F3953">
        <w:t xml:space="preserve"> – the Council’s arrangements were further strengthened during 2017/18 by the continued development of the GRACE risk management system. Extensive officer training was supplemented by Member Learning Hours covering the Corporate Risk Register and the revised Risk Management Framework which was approved by the Governance Committee in April.</w:t>
      </w:r>
    </w:p>
    <w:p w:rsidR="000F3953" w:rsidRPr="000F3953" w:rsidRDefault="000F3953" w:rsidP="000F3953">
      <w:pPr>
        <w:jc w:val="both"/>
        <w:rPr>
          <w:b/>
        </w:rPr>
      </w:pPr>
    </w:p>
    <w:p w:rsidR="00D711BE" w:rsidRDefault="000F3953" w:rsidP="000F3953">
      <w:pPr>
        <w:ind w:left="709"/>
        <w:jc w:val="both"/>
      </w:pPr>
      <w:r w:rsidRPr="000F3953">
        <w:rPr>
          <w:b/>
        </w:rPr>
        <w:t>Governance</w:t>
      </w:r>
      <w:r w:rsidRPr="000F3953">
        <w:t xml:space="preserve"> – a range of actions have been taken during 2017/18 to strengthen the Council’s governance arrangements</w:t>
      </w:r>
      <w:r w:rsidR="00D711BE">
        <w:t xml:space="preserve">. </w:t>
      </w:r>
      <w:r w:rsidRPr="000F3953">
        <w:t xml:space="preserve">The Annual Governance Statement Action Plan </w:t>
      </w:r>
      <w:r w:rsidR="00D711BE">
        <w:t>for 2018/19 i</w:t>
      </w:r>
      <w:r w:rsidRPr="000F3953">
        <w:t>ncludes details of actions to further strengthen Council’s governance arrangements.</w:t>
      </w:r>
    </w:p>
    <w:p w:rsidR="00D711BE" w:rsidRDefault="00D711BE" w:rsidP="000F3953">
      <w:pPr>
        <w:ind w:left="709"/>
        <w:jc w:val="both"/>
      </w:pPr>
    </w:p>
    <w:p w:rsidR="00D711BE" w:rsidRDefault="000F3953" w:rsidP="000F3953">
      <w:pPr>
        <w:ind w:left="709"/>
        <w:jc w:val="both"/>
      </w:pPr>
      <w:r w:rsidRPr="000F3953">
        <w:t>The 2018 AGS has been produced following a rigorous assessment process, both internal and external</w:t>
      </w:r>
      <w:r w:rsidR="00D711BE">
        <w:t>.</w:t>
      </w:r>
    </w:p>
    <w:p w:rsidR="00D711BE" w:rsidRDefault="00D711BE" w:rsidP="000F3953">
      <w:pPr>
        <w:ind w:left="709"/>
        <w:jc w:val="both"/>
      </w:pPr>
    </w:p>
    <w:p w:rsidR="000F3953" w:rsidRDefault="00D711BE" w:rsidP="000F3953">
      <w:pPr>
        <w:ind w:left="709"/>
        <w:jc w:val="both"/>
      </w:pPr>
      <w:r>
        <w:t>I</w:t>
      </w:r>
      <w:r w:rsidR="000F3953" w:rsidRPr="000F3953">
        <w:t xml:space="preserve">t is therefore the opinion of the Head of Shared Assurance that once the remaining improvement actions are implemented the Council’s system of corporate governance will incorporate the very highest standards of practice. </w:t>
      </w:r>
    </w:p>
    <w:p w:rsidR="00D711BE" w:rsidRDefault="00D711BE" w:rsidP="000F3953">
      <w:pPr>
        <w:ind w:left="709"/>
        <w:jc w:val="both"/>
      </w:pPr>
    </w:p>
    <w:p w:rsidR="00D711BE" w:rsidRPr="000F3953" w:rsidRDefault="00D711BE" w:rsidP="000F3953">
      <w:pPr>
        <w:ind w:left="709"/>
        <w:jc w:val="both"/>
      </w:pPr>
    </w:p>
    <w:p w:rsidR="002F5C5E" w:rsidRDefault="002F5C5E" w:rsidP="000F3953">
      <w:pPr>
        <w:keepNext/>
        <w:numPr>
          <w:ilvl w:val="0"/>
          <w:numId w:val="8"/>
        </w:numPr>
        <w:ind w:left="709" w:hanging="709"/>
        <w:outlineLvl w:val="0"/>
        <w:rPr>
          <w:b/>
          <w:szCs w:val="22"/>
        </w:rPr>
      </w:pPr>
      <w:r w:rsidRPr="009C1143">
        <w:rPr>
          <w:b/>
          <w:szCs w:val="22"/>
        </w:rPr>
        <w:t>CORPORATE PRIORITIES</w:t>
      </w:r>
    </w:p>
    <w:p w:rsidR="00772B9C" w:rsidRDefault="00772B9C" w:rsidP="00772B9C">
      <w:pPr>
        <w:keepNext/>
        <w:outlineLvl w:val="0"/>
        <w:rPr>
          <w:b/>
          <w:szCs w:val="22"/>
        </w:rPr>
      </w:pPr>
    </w:p>
    <w:p w:rsidR="00772B9C" w:rsidRPr="00772B9C" w:rsidRDefault="00772B9C" w:rsidP="000F3953">
      <w:pPr>
        <w:keepNext/>
        <w:ind w:left="709"/>
        <w:outlineLvl w:val="0"/>
        <w:rPr>
          <w:i/>
          <w:color w:val="2E74B5"/>
          <w:szCs w:val="22"/>
        </w:rPr>
      </w:pPr>
      <w:r w:rsidRPr="009C1143">
        <w:rPr>
          <w:szCs w:val="22"/>
        </w:rPr>
        <w:t>The report relates to the following corporate priorities</w:t>
      </w:r>
      <w:r>
        <w:rPr>
          <w:szCs w:val="22"/>
        </w:rPr>
        <w:t>:</w:t>
      </w:r>
      <w:r w:rsidRPr="009C1143">
        <w:rPr>
          <w:b/>
          <w:szCs w:val="22"/>
        </w:rPr>
        <w:t xml:space="preserve"> </w:t>
      </w:r>
    </w:p>
    <w:p w:rsidR="00772B9C" w:rsidRDefault="00772B9C" w:rsidP="00772B9C">
      <w:pPr>
        <w:keepNext/>
        <w:outlineLvl w:val="0"/>
        <w:rPr>
          <w:b/>
          <w:szCs w:val="22"/>
        </w:rPr>
      </w:pPr>
    </w:p>
    <w:tbl>
      <w:tblPr>
        <w:tblW w:w="5273"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A95E9C">
        <w:tc>
          <w:tcPr>
            <w:tcW w:w="4423" w:type="dxa"/>
            <w:shd w:val="clear" w:color="auto" w:fill="auto"/>
          </w:tcPr>
          <w:p w:rsidR="00772B9C" w:rsidRPr="000828CC" w:rsidRDefault="00772B9C" w:rsidP="004F34DE">
            <w:pPr>
              <w:rPr>
                <w:szCs w:val="22"/>
              </w:rPr>
            </w:pPr>
            <w:r w:rsidRPr="000828CC">
              <w:rPr>
                <w:szCs w:val="22"/>
              </w:rPr>
              <w:t>Excellence and Financial Sustainability</w:t>
            </w:r>
          </w:p>
          <w:p w:rsidR="00772B9C" w:rsidRPr="000828CC" w:rsidRDefault="00772B9C" w:rsidP="004F34DE">
            <w:pPr>
              <w:rPr>
                <w:szCs w:val="22"/>
              </w:rPr>
            </w:pPr>
          </w:p>
        </w:tc>
        <w:tc>
          <w:tcPr>
            <w:tcW w:w="850" w:type="dxa"/>
            <w:shd w:val="clear" w:color="auto" w:fill="auto"/>
          </w:tcPr>
          <w:p w:rsidR="00772B9C" w:rsidRPr="00414C88" w:rsidRDefault="00414C88" w:rsidP="004F34DE">
            <w:pPr>
              <w:rPr>
                <w:szCs w:val="22"/>
              </w:rPr>
            </w:pPr>
            <w:r w:rsidRPr="00414C88">
              <w:rPr>
                <w:szCs w:val="22"/>
              </w:rPr>
              <w:t>X</w:t>
            </w:r>
          </w:p>
        </w:tc>
      </w:tr>
      <w:tr w:rsidR="00772B9C" w:rsidRPr="008770BE" w:rsidTr="00A95E9C">
        <w:tc>
          <w:tcPr>
            <w:tcW w:w="4423" w:type="dxa"/>
            <w:shd w:val="clear" w:color="auto" w:fill="auto"/>
          </w:tcPr>
          <w:p w:rsidR="00772B9C" w:rsidRPr="000828CC" w:rsidRDefault="00772B9C" w:rsidP="004F34DE">
            <w:pPr>
              <w:rPr>
                <w:szCs w:val="22"/>
              </w:rPr>
            </w:pPr>
            <w:r w:rsidRPr="000828CC">
              <w:rPr>
                <w:szCs w:val="22"/>
              </w:rPr>
              <w:t>Health and Wellbeing</w:t>
            </w:r>
          </w:p>
          <w:p w:rsidR="00772B9C" w:rsidRPr="000828CC" w:rsidRDefault="00772B9C" w:rsidP="004F34DE">
            <w:pPr>
              <w:rPr>
                <w:szCs w:val="22"/>
              </w:rPr>
            </w:pPr>
          </w:p>
        </w:tc>
        <w:tc>
          <w:tcPr>
            <w:tcW w:w="850" w:type="dxa"/>
            <w:shd w:val="clear" w:color="auto" w:fill="auto"/>
          </w:tcPr>
          <w:p w:rsidR="00772B9C" w:rsidRPr="008770BE" w:rsidRDefault="00772B9C" w:rsidP="004F34DE">
            <w:pPr>
              <w:rPr>
                <w:szCs w:val="22"/>
                <w:highlight w:val="yellow"/>
              </w:rPr>
            </w:pPr>
          </w:p>
        </w:tc>
      </w:tr>
      <w:tr w:rsidR="00772B9C" w:rsidRPr="009C1143" w:rsidTr="00A95E9C">
        <w:tc>
          <w:tcPr>
            <w:tcW w:w="4423" w:type="dxa"/>
            <w:shd w:val="clear" w:color="auto" w:fill="auto"/>
          </w:tcPr>
          <w:p w:rsidR="00772B9C" w:rsidRPr="000828CC" w:rsidRDefault="00772B9C" w:rsidP="004F34DE">
            <w:pPr>
              <w:rPr>
                <w:szCs w:val="22"/>
              </w:rPr>
            </w:pPr>
            <w:r w:rsidRPr="000828CC">
              <w:rPr>
                <w:szCs w:val="22"/>
              </w:rPr>
              <w:t>Place</w:t>
            </w:r>
          </w:p>
          <w:p w:rsidR="00772B9C" w:rsidRPr="000828CC" w:rsidRDefault="00772B9C" w:rsidP="004F34DE">
            <w:pPr>
              <w:rPr>
                <w:szCs w:val="22"/>
              </w:rPr>
            </w:pPr>
          </w:p>
        </w:tc>
        <w:tc>
          <w:tcPr>
            <w:tcW w:w="850" w:type="dxa"/>
            <w:shd w:val="clear" w:color="auto" w:fill="auto"/>
          </w:tcPr>
          <w:p w:rsidR="00772B9C" w:rsidRPr="009C1143" w:rsidRDefault="00772B9C" w:rsidP="004F34DE">
            <w:pPr>
              <w:rPr>
                <w:szCs w:val="22"/>
              </w:rPr>
            </w:pP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A95E9C">
        <w:tc>
          <w:tcPr>
            <w:tcW w:w="4423" w:type="dxa"/>
            <w:shd w:val="clear" w:color="auto" w:fill="auto"/>
          </w:tcPr>
          <w:p w:rsidR="00772B9C" w:rsidRDefault="00772B9C" w:rsidP="004F34DE">
            <w:pPr>
              <w:rPr>
                <w:szCs w:val="22"/>
              </w:rPr>
            </w:pPr>
            <w:r>
              <w:rPr>
                <w:szCs w:val="22"/>
              </w:rPr>
              <w:t xml:space="preserve">People </w:t>
            </w:r>
          </w:p>
          <w:p w:rsidR="00772B9C" w:rsidRPr="000828CC" w:rsidRDefault="00772B9C" w:rsidP="004F34DE">
            <w:pPr>
              <w:rPr>
                <w:szCs w:val="22"/>
              </w:rPr>
            </w:pPr>
          </w:p>
        </w:tc>
        <w:tc>
          <w:tcPr>
            <w:tcW w:w="850" w:type="dxa"/>
            <w:shd w:val="clear" w:color="auto" w:fill="auto"/>
          </w:tcPr>
          <w:p w:rsidR="00772B9C" w:rsidRPr="009C1143" w:rsidRDefault="00772B9C" w:rsidP="004F34DE">
            <w:pPr>
              <w:rPr>
                <w:szCs w:val="22"/>
              </w:rPr>
            </w:pPr>
          </w:p>
        </w:tc>
      </w:tr>
    </w:tbl>
    <w:p w:rsidR="002F5C5E" w:rsidRDefault="002F5C5E" w:rsidP="002F5C5E">
      <w:pPr>
        <w:rPr>
          <w:szCs w:val="22"/>
        </w:rPr>
      </w:pPr>
    </w:p>
    <w:p w:rsidR="00A95E9C" w:rsidRDefault="00A95E9C" w:rsidP="002F5C5E">
      <w:pPr>
        <w:rPr>
          <w:szCs w:val="22"/>
        </w:rPr>
      </w:pPr>
    </w:p>
    <w:p w:rsidR="002F5C5E" w:rsidRDefault="00414C88" w:rsidP="002F5C5E">
      <w:pPr>
        <w:rPr>
          <w:b/>
          <w:szCs w:val="22"/>
        </w:rPr>
      </w:pPr>
      <w:r>
        <w:rPr>
          <w:b/>
          <w:szCs w:val="22"/>
        </w:rPr>
        <w:t>5</w:t>
      </w:r>
      <w:r w:rsidR="001938D6">
        <w:rPr>
          <w:b/>
          <w:szCs w:val="22"/>
        </w:rPr>
        <w:t xml:space="preserve">.   </w:t>
      </w:r>
      <w:r w:rsidR="000F3953">
        <w:rPr>
          <w:b/>
          <w:szCs w:val="22"/>
        </w:rPr>
        <w:tab/>
      </w:r>
      <w:r>
        <w:rPr>
          <w:b/>
          <w:szCs w:val="22"/>
        </w:rPr>
        <w:t>INTERNAL AUDIT PLAN</w:t>
      </w:r>
    </w:p>
    <w:p w:rsidR="001938D6" w:rsidRPr="0089017D" w:rsidRDefault="001938D6" w:rsidP="002F5C5E">
      <w:pPr>
        <w:rPr>
          <w:szCs w:val="22"/>
        </w:rPr>
      </w:pPr>
    </w:p>
    <w:p w:rsidR="00414C88" w:rsidRDefault="00414C88" w:rsidP="00A95E9C">
      <w:pPr>
        <w:autoSpaceDE w:val="0"/>
        <w:autoSpaceDN w:val="0"/>
        <w:adjustRightInd w:val="0"/>
        <w:ind w:left="720" w:hanging="720"/>
        <w:rPr>
          <w:szCs w:val="22"/>
        </w:rPr>
      </w:pPr>
      <w:r w:rsidRPr="0089017D">
        <w:rPr>
          <w:szCs w:val="22"/>
        </w:rPr>
        <w:t>5</w:t>
      </w:r>
      <w:r w:rsidR="001938D6" w:rsidRPr="0089017D">
        <w:rPr>
          <w:szCs w:val="22"/>
        </w:rPr>
        <w:t>.1</w:t>
      </w:r>
      <w:r w:rsidR="001938D6">
        <w:rPr>
          <w:b/>
          <w:szCs w:val="22"/>
        </w:rPr>
        <w:tab/>
      </w:r>
      <w:r w:rsidRPr="002D26F5">
        <w:rPr>
          <w:b/>
        </w:rPr>
        <w:t>Appendix 1</w:t>
      </w:r>
      <w:r>
        <w:t xml:space="preserve"> to this report provides a detailed account of the individual audits undertaken in respect of </w:t>
      </w:r>
      <w:r w:rsidRPr="00C96594">
        <w:t>the 201</w:t>
      </w:r>
      <w:r w:rsidR="001518A7">
        <w:t>7</w:t>
      </w:r>
      <w:r w:rsidRPr="00C96594">
        <w:t>/1</w:t>
      </w:r>
      <w:r w:rsidR="001518A7">
        <w:t>8</w:t>
      </w:r>
      <w:r w:rsidRPr="00C96594">
        <w:t xml:space="preserve"> Internal Audit </w:t>
      </w:r>
      <w:r>
        <w:t>Plans for South Ribble</w:t>
      </w:r>
      <w:r w:rsidR="00A95E9C">
        <w:t xml:space="preserve"> Council</w:t>
      </w:r>
      <w:r>
        <w:t xml:space="preserve"> and </w:t>
      </w:r>
      <w:r w:rsidR="002B19D3">
        <w:t>Shared Services</w:t>
      </w:r>
      <w:r>
        <w:t xml:space="preserve">. </w:t>
      </w:r>
      <w:r w:rsidR="00523584">
        <w:rPr>
          <w:szCs w:val="22"/>
        </w:rPr>
        <w:t xml:space="preserve">A </w:t>
      </w:r>
      <w:r>
        <w:rPr>
          <w:szCs w:val="22"/>
        </w:rPr>
        <w:t xml:space="preserve">summary of any </w:t>
      </w:r>
      <w:r w:rsidRPr="00941782">
        <w:rPr>
          <w:szCs w:val="22"/>
        </w:rPr>
        <w:t xml:space="preserve">actions that have been agreed with management to further improve controls within all the </w:t>
      </w:r>
      <w:r w:rsidRPr="003E7DA7">
        <w:rPr>
          <w:szCs w:val="22"/>
        </w:rPr>
        <w:t>areas audited</w:t>
      </w:r>
      <w:r w:rsidR="00523584">
        <w:rPr>
          <w:szCs w:val="22"/>
        </w:rPr>
        <w:t xml:space="preserve"> is also included within the appendix</w:t>
      </w:r>
      <w:r w:rsidRPr="003E7DA7">
        <w:rPr>
          <w:szCs w:val="22"/>
        </w:rPr>
        <w:t>.</w:t>
      </w:r>
    </w:p>
    <w:p w:rsidR="00414C88" w:rsidRPr="003E7DA7" w:rsidRDefault="00414C88" w:rsidP="00414C88">
      <w:pPr>
        <w:autoSpaceDE w:val="0"/>
        <w:autoSpaceDN w:val="0"/>
        <w:adjustRightInd w:val="0"/>
        <w:rPr>
          <w:szCs w:val="22"/>
        </w:rPr>
      </w:pPr>
    </w:p>
    <w:p w:rsidR="00414C88" w:rsidRPr="00847A03" w:rsidRDefault="0089017D" w:rsidP="00414C88">
      <w:pPr>
        <w:rPr>
          <w:b/>
          <w:szCs w:val="22"/>
        </w:rPr>
      </w:pPr>
      <w:r>
        <w:rPr>
          <w:szCs w:val="22"/>
        </w:rPr>
        <w:t>5.2</w:t>
      </w:r>
      <w:r w:rsidR="00414C88">
        <w:rPr>
          <w:szCs w:val="22"/>
        </w:rPr>
        <w:tab/>
      </w:r>
      <w:r w:rsidR="00414C88" w:rsidRPr="00847A03">
        <w:rPr>
          <w:szCs w:val="22"/>
        </w:rPr>
        <w:t>The following tables provide an analysis of the planned and actual auditor days</w:t>
      </w:r>
      <w:r w:rsidR="00414C88">
        <w:rPr>
          <w:szCs w:val="22"/>
        </w:rPr>
        <w:t xml:space="preserve"> used </w:t>
      </w:r>
      <w:r w:rsidR="00414C88">
        <w:rPr>
          <w:szCs w:val="22"/>
        </w:rPr>
        <w:tab/>
        <w:t xml:space="preserve">during the year </w:t>
      </w:r>
      <w:r w:rsidR="00414C88" w:rsidRPr="00847A03">
        <w:rPr>
          <w:szCs w:val="22"/>
        </w:rPr>
        <w:t xml:space="preserve">together with an explanation of any variations </w:t>
      </w:r>
      <w:r w:rsidR="00414C88">
        <w:rPr>
          <w:szCs w:val="22"/>
        </w:rPr>
        <w:t>that have occurred.</w:t>
      </w:r>
    </w:p>
    <w:p w:rsidR="00414C88" w:rsidRDefault="00414C88" w:rsidP="00414C88">
      <w:pPr>
        <w:pStyle w:val="ListParagraph"/>
        <w:rPr>
          <w:b/>
        </w:rPr>
      </w:pPr>
    </w:p>
    <w:p w:rsidR="00414C88" w:rsidRPr="000F3953" w:rsidRDefault="000F3953" w:rsidP="00414C88">
      <w:pPr>
        <w:pStyle w:val="ListParagraph"/>
        <w:ind w:hanging="720"/>
        <w:rPr>
          <w:rFonts w:ascii="Arial" w:hAnsi="Arial" w:cs="Arial"/>
          <w:b/>
        </w:rPr>
      </w:pPr>
      <w:r>
        <w:rPr>
          <w:b/>
          <w:i/>
        </w:rPr>
        <w:tab/>
      </w:r>
      <w:r w:rsidR="00414C88" w:rsidRPr="000F3953">
        <w:rPr>
          <w:rFonts w:ascii="Arial" w:hAnsi="Arial" w:cs="Arial"/>
          <w:b/>
        </w:rPr>
        <w:t>South Ribble Council</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134"/>
        <w:gridCol w:w="1134"/>
        <w:gridCol w:w="1134"/>
      </w:tblGrid>
      <w:tr w:rsidR="00414C88" w:rsidRPr="00B570A4" w:rsidTr="00A95E9C">
        <w:tc>
          <w:tcPr>
            <w:tcW w:w="5670" w:type="dxa"/>
            <w:shd w:val="clear" w:color="auto" w:fill="auto"/>
          </w:tcPr>
          <w:p w:rsidR="00414C88" w:rsidRPr="00B570A4" w:rsidRDefault="00414C88" w:rsidP="004F34DE">
            <w:pPr>
              <w:rPr>
                <w:b/>
                <w:szCs w:val="22"/>
              </w:rPr>
            </w:pPr>
          </w:p>
        </w:tc>
        <w:tc>
          <w:tcPr>
            <w:tcW w:w="1134" w:type="dxa"/>
            <w:shd w:val="clear" w:color="auto" w:fill="auto"/>
          </w:tcPr>
          <w:p w:rsidR="00414C88" w:rsidRPr="00B570A4" w:rsidRDefault="00414C88" w:rsidP="004F34DE">
            <w:pPr>
              <w:jc w:val="center"/>
              <w:rPr>
                <w:b/>
                <w:szCs w:val="22"/>
              </w:rPr>
            </w:pPr>
            <w:r w:rsidRPr="00B570A4">
              <w:rPr>
                <w:b/>
                <w:szCs w:val="22"/>
              </w:rPr>
              <w:t>Planned (Days)</w:t>
            </w:r>
          </w:p>
        </w:tc>
        <w:tc>
          <w:tcPr>
            <w:tcW w:w="1134" w:type="dxa"/>
            <w:shd w:val="clear" w:color="auto" w:fill="auto"/>
          </w:tcPr>
          <w:p w:rsidR="00414C88" w:rsidRPr="00B570A4" w:rsidRDefault="00414C88" w:rsidP="004F34DE">
            <w:pPr>
              <w:jc w:val="center"/>
              <w:rPr>
                <w:b/>
                <w:szCs w:val="22"/>
              </w:rPr>
            </w:pPr>
            <w:r w:rsidRPr="00B570A4">
              <w:rPr>
                <w:b/>
                <w:szCs w:val="22"/>
              </w:rPr>
              <w:t>Actual (Days)</w:t>
            </w:r>
          </w:p>
        </w:tc>
        <w:tc>
          <w:tcPr>
            <w:tcW w:w="1134" w:type="dxa"/>
            <w:shd w:val="clear" w:color="auto" w:fill="auto"/>
          </w:tcPr>
          <w:p w:rsidR="00414C88" w:rsidRPr="00B570A4" w:rsidRDefault="00414C88" w:rsidP="004F34DE">
            <w:pPr>
              <w:jc w:val="center"/>
              <w:rPr>
                <w:b/>
                <w:szCs w:val="22"/>
              </w:rPr>
            </w:pPr>
            <w:r w:rsidRPr="00B570A4">
              <w:rPr>
                <w:b/>
                <w:szCs w:val="22"/>
              </w:rPr>
              <w:t>Variance</w:t>
            </w:r>
          </w:p>
          <w:p w:rsidR="00414C88" w:rsidRPr="00B570A4" w:rsidRDefault="00414C88" w:rsidP="004F34DE">
            <w:pPr>
              <w:jc w:val="center"/>
              <w:rPr>
                <w:b/>
                <w:szCs w:val="22"/>
              </w:rPr>
            </w:pPr>
            <w:r w:rsidRPr="00B570A4">
              <w:rPr>
                <w:b/>
                <w:szCs w:val="22"/>
              </w:rPr>
              <w:t>(Days)</w:t>
            </w:r>
          </w:p>
        </w:tc>
      </w:tr>
      <w:tr w:rsidR="00414C88" w:rsidRPr="00B570A4" w:rsidTr="00A95E9C">
        <w:tc>
          <w:tcPr>
            <w:tcW w:w="5670" w:type="dxa"/>
            <w:shd w:val="clear" w:color="auto" w:fill="auto"/>
          </w:tcPr>
          <w:p w:rsidR="00414C88" w:rsidRPr="00532ADF" w:rsidRDefault="00414C88" w:rsidP="004F34DE">
            <w:pPr>
              <w:rPr>
                <w:szCs w:val="22"/>
              </w:rPr>
            </w:pPr>
            <w:r w:rsidRPr="00532ADF">
              <w:rPr>
                <w:szCs w:val="22"/>
              </w:rPr>
              <w:t>Audits undertaken</w:t>
            </w:r>
          </w:p>
        </w:tc>
        <w:tc>
          <w:tcPr>
            <w:tcW w:w="1134" w:type="dxa"/>
            <w:shd w:val="clear" w:color="auto" w:fill="auto"/>
          </w:tcPr>
          <w:p w:rsidR="00414C88" w:rsidRPr="00532ADF" w:rsidRDefault="00414C88" w:rsidP="00532ADF">
            <w:pPr>
              <w:jc w:val="right"/>
              <w:rPr>
                <w:szCs w:val="22"/>
              </w:rPr>
            </w:pPr>
            <w:r w:rsidRPr="00532ADF">
              <w:rPr>
                <w:szCs w:val="22"/>
              </w:rPr>
              <w:t>2</w:t>
            </w:r>
            <w:r w:rsidR="00532ADF" w:rsidRPr="00532ADF">
              <w:rPr>
                <w:szCs w:val="22"/>
              </w:rPr>
              <w:t>1</w:t>
            </w:r>
            <w:r w:rsidRPr="00532ADF">
              <w:rPr>
                <w:szCs w:val="22"/>
              </w:rPr>
              <w:t>0</w:t>
            </w:r>
          </w:p>
        </w:tc>
        <w:tc>
          <w:tcPr>
            <w:tcW w:w="1134" w:type="dxa"/>
            <w:shd w:val="clear" w:color="auto" w:fill="auto"/>
          </w:tcPr>
          <w:p w:rsidR="00414C88" w:rsidRPr="00CA1F15" w:rsidRDefault="00532ADF" w:rsidP="00EC4CAA">
            <w:pPr>
              <w:jc w:val="right"/>
              <w:rPr>
                <w:szCs w:val="22"/>
              </w:rPr>
            </w:pPr>
            <w:r w:rsidRPr="00CA1F15">
              <w:rPr>
                <w:szCs w:val="22"/>
              </w:rPr>
              <w:t>19</w:t>
            </w:r>
            <w:r w:rsidR="00EC4CAA">
              <w:rPr>
                <w:szCs w:val="22"/>
              </w:rPr>
              <w:t>9</w:t>
            </w:r>
          </w:p>
        </w:tc>
        <w:tc>
          <w:tcPr>
            <w:tcW w:w="1134" w:type="dxa"/>
            <w:shd w:val="clear" w:color="auto" w:fill="auto"/>
          </w:tcPr>
          <w:p w:rsidR="00414C88" w:rsidRPr="00CA1F15" w:rsidRDefault="00532ADF" w:rsidP="00EC4CAA">
            <w:pPr>
              <w:jc w:val="right"/>
              <w:rPr>
                <w:szCs w:val="22"/>
              </w:rPr>
            </w:pPr>
            <w:r w:rsidRPr="00CA1F15">
              <w:rPr>
                <w:szCs w:val="22"/>
              </w:rPr>
              <w:t>1</w:t>
            </w:r>
            <w:r w:rsidR="000E3F69" w:rsidRPr="00CA1F15">
              <w:rPr>
                <w:szCs w:val="22"/>
              </w:rPr>
              <w:t>1</w:t>
            </w:r>
          </w:p>
        </w:tc>
      </w:tr>
      <w:tr w:rsidR="00414C88" w:rsidRPr="00B570A4" w:rsidTr="00A95E9C">
        <w:tc>
          <w:tcPr>
            <w:tcW w:w="5670" w:type="dxa"/>
            <w:shd w:val="clear" w:color="auto" w:fill="auto"/>
          </w:tcPr>
          <w:p w:rsidR="00414C88" w:rsidRPr="00532ADF" w:rsidRDefault="00414C88" w:rsidP="004F34DE">
            <w:pPr>
              <w:rPr>
                <w:szCs w:val="22"/>
              </w:rPr>
            </w:pPr>
            <w:r w:rsidRPr="00532ADF">
              <w:rPr>
                <w:szCs w:val="22"/>
              </w:rPr>
              <w:t xml:space="preserve">Audits </w:t>
            </w:r>
            <w:r w:rsidR="00A6792B">
              <w:rPr>
                <w:szCs w:val="22"/>
              </w:rPr>
              <w:t>still in progress</w:t>
            </w:r>
          </w:p>
          <w:p w:rsidR="00414C88" w:rsidRPr="00532ADF" w:rsidRDefault="00532ADF" w:rsidP="00414C88">
            <w:pPr>
              <w:numPr>
                <w:ilvl w:val="0"/>
                <w:numId w:val="17"/>
              </w:numPr>
              <w:rPr>
                <w:szCs w:val="22"/>
              </w:rPr>
            </w:pPr>
            <w:r w:rsidRPr="00532ADF">
              <w:rPr>
                <w:szCs w:val="22"/>
              </w:rPr>
              <w:t>Environmental Enforcement</w:t>
            </w:r>
          </w:p>
          <w:p w:rsidR="00532ADF" w:rsidRPr="00532ADF" w:rsidRDefault="00532ADF" w:rsidP="00414C88">
            <w:pPr>
              <w:numPr>
                <w:ilvl w:val="0"/>
                <w:numId w:val="17"/>
              </w:numPr>
              <w:rPr>
                <w:szCs w:val="22"/>
              </w:rPr>
            </w:pPr>
            <w:r w:rsidRPr="00532ADF">
              <w:rPr>
                <w:szCs w:val="22"/>
              </w:rPr>
              <w:t>Health &amp; Safety (incl</w:t>
            </w:r>
            <w:r>
              <w:rPr>
                <w:szCs w:val="22"/>
              </w:rPr>
              <w:t>.</w:t>
            </w:r>
            <w:r w:rsidRPr="00532ADF">
              <w:rPr>
                <w:szCs w:val="22"/>
              </w:rPr>
              <w:t xml:space="preserve"> Legionella &amp; Asbestos</w:t>
            </w:r>
            <w:r w:rsidR="00A95E9C">
              <w:rPr>
                <w:szCs w:val="22"/>
              </w:rPr>
              <w:t>is</w:t>
            </w:r>
            <w:r w:rsidR="00A70533">
              <w:rPr>
                <w:szCs w:val="22"/>
              </w:rPr>
              <w:t xml:space="preserve"> Management</w:t>
            </w:r>
            <w:r w:rsidRPr="00532ADF">
              <w:rPr>
                <w:szCs w:val="22"/>
              </w:rPr>
              <w:t>)</w:t>
            </w:r>
          </w:p>
          <w:p w:rsidR="00532ADF" w:rsidRPr="00532ADF" w:rsidRDefault="00532ADF" w:rsidP="00A95E9C">
            <w:pPr>
              <w:numPr>
                <w:ilvl w:val="0"/>
                <w:numId w:val="17"/>
              </w:numPr>
              <w:rPr>
                <w:szCs w:val="22"/>
              </w:rPr>
            </w:pPr>
            <w:r w:rsidRPr="00532ADF">
              <w:rPr>
                <w:szCs w:val="22"/>
              </w:rPr>
              <w:t>Commercial Properties</w:t>
            </w:r>
          </w:p>
        </w:tc>
        <w:tc>
          <w:tcPr>
            <w:tcW w:w="1134" w:type="dxa"/>
            <w:shd w:val="clear" w:color="auto" w:fill="auto"/>
          </w:tcPr>
          <w:p w:rsidR="00414C88" w:rsidRPr="00532ADF" w:rsidRDefault="00414C88" w:rsidP="004F34DE">
            <w:pPr>
              <w:jc w:val="right"/>
              <w:rPr>
                <w:szCs w:val="22"/>
              </w:rPr>
            </w:pPr>
          </w:p>
          <w:p w:rsidR="00414C88" w:rsidRPr="00532ADF" w:rsidRDefault="00414C88" w:rsidP="004F34DE">
            <w:pPr>
              <w:jc w:val="right"/>
              <w:rPr>
                <w:szCs w:val="22"/>
              </w:rPr>
            </w:pPr>
            <w:r w:rsidRPr="00532ADF">
              <w:rPr>
                <w:szCs w:val="22"/>
              </w:rPr>
              <w:t>15</w:t>
            </w:r>
          </w:p>
          <w:p w:rsidR="00532ADF" w:rsidRPr="00532ADF" w:rsidRDefault="00532ADF" w:rsidP="004F34DE">
            <w:pPr>
              <w:jc w:val="right"/>
              <w:rPr>
                <w:szCs w:val="22"/>
              </w:rPr>
            </w:pPr>
            <w:r w:rsidRPr="00532ADF">
              <w:rPr>
                <w:szCs w:val="22"/>
              </w:rPr>
              <w:t>30</w:t>
            </w:r>
          </w:p>
          <w:p w:rsidR="00414C88" w:rsidRPr="00532ADF" w:rsidRDefault="00532ADF" w:rsidP="004F34DE">
            <w:pPr>
              <w:jc w:val="right"/>
              <w:rPr>
                <w:szCs w:val="22"/>
              </w:rPr>
            </w:pPr>
            <w:r w:rsidRPr="00532ADF">
              <w:rPr>
                <w:szCs w:val="22"/>
              </w:rPr>
              <w:t>15</w:t>
            </w:r>
          </w:p>
          <w:p w:rsidR="00532ADF" w:rsidRPr="00532ADF" w:rsidRDefault="00532ADF" w:rsidP="004F34DE">
            <w:pPr>
              <w:jc w:val="right"/>
              <w:rPr>
                <w:szCs w:val="22"/>
              </w:rPr>
            </w:pPr>
          </w:p>
        </w:tc>
        <w:tc>
          <w:tcPr>
            <w:tcW w:w="1134" w:type="dxa"/>
            <w:shd w:val="clear" w:color="auto" w:fill="auto"/>
          </w:tcPr>
          <w:p w:rsidR="00414C88" w:rsidRPr="00CA1F15" w:rsidRDefault="00414C88" w:rsidP="004F34DE">
            <w:pPr>
              <w:jc w:val="right"/>
              <w:rPr>
                <w:szCs w:val="22"/>
              </w:rPr>
            </w:pPr>
          </w:p>
          <w:p w:rsidR="00414C88" w:rsidRPr="00CA1F15" w:rsidRDefault="00EC4CAA" w:rsidP="004F34DE">
            <w:pPr>
              <w:jc w:val="right"/>
              <w:rPr>
                <w:szCs w:val="22"/>
              </w:rPr>
            </w:pPr>
            <w:r>
              <w:rPr>
                <w:szCs w:val="22"/>
              </w:rPr>
              <w:t>5</w:t>
            </w:r>
          </w:p>
          <w:p w:rsidR="00532ADF" w:rsidRPr="00CA1F15" w:rsidRDefault="00532ADF" w:rsidP="004F34DE">
            <w:pPr>
              <w:jc w:val="right"/>
              <w:rPr>
                <w:szCs w:val="22"/>
              </w:rPr>
            </w:pPr>
            <w:r w:rsidRPr="00CA1F15">
              <w:rPr>
                <w:szCs w:val="22"/>
              </w:rPr>
              <w:t>7</w:t>
            </w:r>
          </w:p>
          <w:p w:rsidR="00414C88" w:rsidRPr="00CA1F15" w:rsidRDefault="00EC4CAA" w:rsidP="004F34DE">
            <w:pPr>
              <w:jc w:val="right"/>
              <w:rPr>
                <w:szCs w:val="22"/>
              </w:rPr>
            </w:pPr>
            <w:r>
              <w:rPr>
                <w:szCs w:val="22"/>
              </w:rPr>
              <w:t>4</w:t>
            </w:r>
          </w:p>
        </w:tc>
        <w:tc>
          <w:tcPr>
            <w:tcW w:w="1134" w:type="dxa"/>
            <w:shd w:val="clear" w:color="auto" w:fill="auto"/>
          </w:tcPr>
          <w:p w:rsidR="00414C88" w:rsidRPr="00CA1F15" w:rsidRDefault="00414C88" w:rsidP="004F34DE">
            <w:pPr>
              <w:jc w:val="right"/>
              <w:rPr>
                <w:szCs w:val="22"/>
              </w:rPr>
            </w:pPr>
          </w:p>
          <w:p w:rsidR="00414C88" w:rsidRPr="00CA1F15" w:rsidRDefault="00532ADF" w:rsidP="004F34DE">
            <w:pPr>
              <w:jc w:val="right"/>
              <w:rPr>
                <w:szCs w:val="22"/>
              </w:rPr>
            </w:pPr>
            <w:r w:rsidRPr="00CA1F15">
              <w:rPr>
                <w:szCs w:val="22"/>
              </w:rPr>
              <w:t>10</w:t>
            </w:r>
          </w:p>
          <w:p w:rsidR="00414C88" w:rsidRPr="00CA1F15" w:rsidRDefault="00532ADF" w:rsidP="004F34DE">
            <w:pPr>
              <w:jc w:val="right"/>
              <w:rPr>
                <w:szCs w:val="22"/>
              </w:rPr>
            </w:pPr>
            <w:r w:rsidRPr="00CA1F15">
              <w:rPr>
                <w:szCs w:val="22"/>
              </w:rPr>
              <w:t>23</w:t>
            </w:r>
          </w:p>
          <w:p w:rsidR="00532ADF" w:rsidRPr="00CA1F15" w:rsidRDefault="00532ADF" w:rsidP="00EC4CAA">
            <w:pPr>
              <w:jc w:val="right"/>
              <w:rPr>
                <w:szCs w:val="22"/>
              </w:rPr>
            </w:pPr>
            <w:r w:rsidRPr="00CA1F15">
              <w:rPr>
                <w:szCs w:val="22"/>
              </w:rPr>
              <w:t>11</w:t>
            </w:r>
          </w:p>
        </w:tc>
      </w:tr>
      <w:tr w:rsidR="00414C88" w:rsidRPr="00B570A4" w:rsidTr="00A95E9C">
        <w:tc>
          <w:tcPr>
            <w:tcW w:w="5670" w:type="dxa"/>
            <w:shd w:val="clear" w:color="auto" w:fill="auto"/>
          </w:tcPr>
          <w:p w:rsidR="00414C88" w:rsidRPr="00532ADF" w:rsidRDefault="00414C88" w:rsidP="004F34DE">
            <w:pPr>
              <w:rPr>
                <w:szCs w:val="22"/>
              </w:rPr>
            </w:pPr>
            <w:r w:rsidRPr="00532ADF">
              <w:rPr>
                <w:szCs w:val="22"/>
              </w:rPr>
              <w:t>Contingency</w:t>
            </w:r>
          </w:p>
        </w:tc>
        <w:tc>
          <w:tcPr>
            <w:tcW w:w="1134" w:type="dxa"/>
            <w:shd w:val="clear" w:color="auto" w:fill="auto"/>
          </w:tcPr>
          <w:p w:rsidR="00414C88" w:rsidRPr="00532ADF" w:rsidRDefault="00532ADF" w:rsidP="004F34DE">
            <w:pPr>
              <w:jc w:val="right"/>
              <w:rPr>
                <w:szCs w:val="22"/>
              </w:rPr>
            </w:pPr>
            <w:r w:rsidRPr="00532ADF">
              <w:rPr>
                <w:szCs w:val="22"/>
              </w:rPr>
              <w:t>9</w:t>
            </w:r>
            <w:r w:rsidR="00414C88" w:rsidRPr="00532ADF">
              <w:rPr>
                <w:szCs w:val="22"/>
              </w:rPr>
              <w:t>0</w:t>
            </w:r>
          </w:p>
        </w:tc>
        <w:tc>
          <w:tcPr>
            <w:tcW w:w="1134" w:type="dxa"/>
            <w:shd w:val="clear" w:color="auto" w:fill="auto"/>
          </w:tcPr>
          <w:p w:rsidR="00414C88" w:rsidRPr="00CA1F15" w:rsidRDefault="00532ADF" w:rsidP="00EC4CAA">
            <w:pPr>
              <w:jc w:val="right"/>
              <w:rPr>
                <w:szCs w:val="22"/>
              </w:rPr>
            </w:pPr>
            <w:r w:rsidRPr="00CA1F15">
              <w:rPr>
                <w:szCs w:val="22"/>
              </w:rPr>
              <w:t>110</w:t>
            </w:r>
          </w:p>
        </w:tc>
        <w:tc>
          <w:tcPr>
            <w:tcW w:w="1134" w:type="dxa"/>
            <w:shd w:val="clear" w:color="auto" w:fill="auto"/>
          </w:tcPr>
          <w:p w:rsidR="00414C88" w:rsidRPr="00CA1F15" w:rsidRDefault="00EC4CAA" w:rsidP="00EC4CAA">
            <w:pPr>
              <w:jc w:val="right"/>
              <w:rPr>
                <w:szCs w:val="22"/>
              </w:rPr>
            </w:pPr>
            <w:r>
              <w:rPr>
                <w:szCs w:val="22"/>
              </w:rPr>
              <w:t>(</w:t>
            </w:r>
            <w:r w:rsidR="000E3F69" w:rsidRPr="00CA1F15">
              <w:rPr>
                <w:szCs w:val="22"/>
              </w:rPr>
              <w:t>20</w:t>
            </w:r>
            <w:r>
              <w:rPr>
                <w:szCs w:val="22"/>
              </w:rPr>
              <w:t>)</w:t>
            </w:r>
          </w:p>
        </w:tc>
      </w:tr>
      <w:tr w:rsidR="00414C88" w:rsidRPr="00B570A4" w:rsidTr="00A95E9C">
        <w:tc>
          <w:tcPr>
            <w:tcW w:w="5670" w:type="dxa"/>
            <w:shd w:val="clear" w:color="auto" w:fill="auto"/>
          </w:tcPr>
          <w:p w:rsidR="00414C88" w:rsidRPr="00532ADF" w:rsidRDefault="00414C88" w:rsidP="004F34DE">
            <w:pPr>
              <w:rPr>
                <w:b/>
                <w:szCs w:val="22"/>
              </w:rPr>
            </w:pPr>
            <w:r w:rsidRPr="00532ADF">
              <w:rPr>
                <w:b/>
                <w:szCs w:val="22"/>
              </w:rPr>
              <w:t>TOTALS</w:t>
            </w:r>
          </w:p>
        </w:tc>
        <w:tc>
          <w:tcPr>
            <w:tcW w:w="1134" w:type="dxa"/>
            <w:shd w:val="clear" w:color="auto" w:fill="auto"/>
          </w:tcPr>
          <w:p w:rsidR="00414C88" w:rsidRPr="00532ADF" w:rsidRDefault="00532ADF" w:rsidP="004F34DE">
            <w:pPr>
              <w:jc w:val="right"/>
              <w:rPr>
                <w:b/>
                <w:szCs w:val="22"/>
              </w:rPr>
            </w:pPr>
            <w:r w:rsidRPr="00532ADF">
              <w:rPr>
                <w:b/>
                <w:szCs w:val="22"/>
              </w:rPr>
              <w:t>360</w:t>
            </w:r>
          </w:p>
        </w:tc>
        <w:tc>
          <w:tcPr>
            <w:tcW w:w="1134" w:type="dxa"/>
            <w:shd w:val="clear" w:color="auto" w:fill="auto"/>
          </w:tcPr>
          <w:p w:rsidR="00414C88" w:rsidRPr="00CA1F15" w:rsidRDefault="000E3F69" w:rsidP="00EC4CAA">
            <w:pPr>
              <w:jc w:val="right"/>
              <w:rPr>
                <w:b/>
                <w:szCs w:val="22"/>
              </w:rPr>
            </w:pPr>
            <w:r w:rsidRPr="00CA1F15">
              <w:rPr>
                <w:b/>
                <w:szCs w:val="22"/>
              </w:rPr>
              <w:t>325</w:t>
            </w:r>
          </w:p>
        </w:tc>
        <w:tc>
          <w:tcPr>
            <w:tcW w:w="1134" w:type="dxa"/>
            <w:shd w:val="clear" w:color="auto" w:fill="auto"/>
          </w:tcPr>
          <w:p w:rsidR="00414C88" w:rsidRPr="00CA1F15" w:rsidRDefault="000E3F69" w:rsidP="00EC4CAA">
            <w:pPr>
              <w:jc w:val="right"/>
              <w:rPr>
                <w:b/>
                <w:szCs w:val="22"/>
              </w:rPr>
            </w:pPr>
            <w:r w:rsidRPr="00CA1F15">
              <w:rPr>
                <w:b/>
                <w:szCs w:val="22"/>
              </w:rPr>
              <w:t>35</w:t>
            </w:r>
          </w:p>
        </w:tc>
      </w:tr>
    </w:tbl>
    <w:p w:rsidR="00414C88" w:rsidRDefault="00414C88" w:rsidP="00414C88">
      <w:pPr>
        <w:pBdr>
          <w:left w:val="single" w:sz="2" w:space="0" w:color="FFFFFF"/>
          <w:bottom w:val="single" w:sz="2" w:space="2" w:color="FFFFFF"/>
          <w:right w:val="single" w:sz="2" w:space="4" w:color="FFFFFF"/>
        </w:pBdr>
      </w:pPr>
    </w:p>
    <w:p w:rsidR="00A70533" w:rsidRPr="008E76B5" w:rsidRDefault="0089017D" w:rsidP="00A95E9C">
      <w:pPr>
        <w:ind w:left="720" w:hanging="720"/>
        <w:rPr>
          <w:szCs w:val="22"/>
        </w:rPr>
      </w:pPr>
      <w:r w:rsidRPr="0089017D">
        <w:rPr>
          <w:szCs w:val="22"/>
        </w:rPr>
        <w:t xml:space="preserve">5.3 </w:t>
      </w:r>
      <w:r w:rsidRPr="0089017D">
        <w:rPr>
          <w:szCs w:val="22"/>
        </w:rPr>
        <w:tab/>
      </w:r>
      <w:r w:rsidR="00152B71">
        <w:rPr>
          <w:szCs w:val="22"/>
        </w:rPr>
        <w:t xml:space="preserve">Environmental Enforcement, Health &amp; Safety and Commercial Properties were each the subject of a detailed service review </w:t>
      </w:r>
      <w:r w:rsidR="008E76B5">
        <w:rPr>
          <w:szCs w:val="22"/>
        </w:rPr>
        <w:t xml:space="preserve">(either internal or external) </w:t>
      </w:r>
      <w:r w:rsidR="00152B71">
        <w:rPr>
          <w:szCs w:val="22"/>
        </w:rPr>
        <w:t xml:space="preserve">during 2017/18 resulting in </w:t>
      </w:r>
      <w:r w:rsidR="00152B71" w:rsidRPr="008E76B5">
        <w:rPr>
          <w:szCs w:val="22"/>
        </w:rPr>
        <w:t xml:space="preserve">considerable changes to processes and procedures. Completion of these audits has therefore been </w:t>
      </w:r>
      <w:r w:rsidR="00A95E9C" w:rsidRPr="008E76B5">
        <w:rPr>
          <w:szCs w:val="22"/>
        </w:rPr>
        <w:t xml:space="preserve">carried forward to 2018/19 to allow </w:t>
      </w:r>
      <w:r w:rsidR="00152B71" w:rsidRPr="008E76B5">
        <w:rPr>
          <w:szCs w:val="22"/>
        </w:rPr>
        <w:t xml:space="preserve">the </w:t>
      </w:r>
      <w:r w:rsidR="00A95E9C" w:rsidRPr="008E76B5">
        <w:rPr>
          <w:szCs w:val="22"/>
        </w:rPr>
        <w:t>revised proc</w:t>
      </w:r>
      <w:r w:rsidR="00152B71" w:rsidRPr="008E76B5">
        <w:rPr>
          <w:szCs w:val="22"/>
        </w:rPr>
        <w:t xml:space="preserve">edures </w:t>
      </w:r>
      <w:r w:rsidR="00A95E9C" w:rsidRPr="008E76B5">
        <w:rPr>
          <w:szCs w:val="22"/>
        </w:rPr>
        <w:t>to be embedded</w:t>
      </w:r>
      <w:r w:rsidR="00152B71" w:rsidRPr="008E76B5">
        <w:rPr>
          <w:szCs w:val="22"/>
        </w:rPr>
        <w:t>.</w:t>
      </w:r>
      <w:r w:rsidR="008E76B5" w:rsidRPr="008E76B5">
        <w:rPr>
          <w:szCs w:val="22"/>
        </w:rPr>
        <w:t xml:space="preserve"> The 35 days variance on the audit plan has been offset by a reduction in the audit fees paid to Lancashire Audit Services (LCC). </w:t>
      </w:r>
    </w:p>
    <w:p w:rsidR="0008107F" w:rsidRDefault="0008107F" w:rsidP="00414C88">
      <w:pPr>
        <w:rPr>
          <w:color w:val="FF0000"/>
          <w:szCs w:val="22"/>
        </w:rPr>
      </w:pPr>
    </w:p>
    <w:p w:rsidR="0005614E" w:rsidRDefault="0005614E" w:rsidP="00152B71">
      <w:pPr>
        <w:rPr>
          <w:rFonts w:cs="Arial"/>
          <w:b/>
        </w:rPr>
      </w:pPr>
    </w:p>
    <w:p w:rsidR="008E76B5" w:rsidRDefault="008E76B5" w:rsidP="00152B71">
      <w:pPr>
        <w:pStyle w:val="ListParagraph"/>
        <w:ind w:left="0" w:firstLine="720"/>
        <w:rPr>
          <w:rFonts w:ascii="Arial" w:hAnsi="Arial" w:cs="Arial"/>
          <w:b/>
        </w:rPr>
      </w:pPr>
    </w:p>
    <w:p w:rsidR="00414C88" w:rsidRPr="000F3953" w:rsidRDefault="00414C88" w:rsidP="00152B71">
      <w:pPr>
        <w:pStyle w:val="ListParagraph"/>
        <w:ind w:left="0" w:firstLine="720"/>
        <w:rPr>
          <w:rFonts w:ascii="Arial" w:hAnsi="Arial" w:cs="Arial"/>
          <w:b/>
        </w:rPr>
      </w:pPr>
      <w:r w:rsidRPr="000F3953">
        <w:rPr>
          <w:rFonts w:ascii="Arial" w:hAnsi="Arial" w:cs="Arial"/>
          <w:b/>
        </w:rPr>
        <w:t>Shared Services</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134"/>
        <w:gridCol w:w="1134"/>
        <w:gridCol w:w="1134"/>
      </w:tblGrid>
      <w:tr w:rsidR="00414C88" w:rsidRPr="00B570A4" w:rsidTr="00152B71">
        <w:tc>
          <w:tcPr>
            <w:tcW w:w="5670" w:type="dxa"/>
            <w:shd w:val="clear" w:color="auto" w:fill="auto"/>
          </w:tcPr>
          <w:p w:rsidR="00414C88" w:rsidRPr="00B570A4" w:rsidRDefault="00414C88" w:rsidP="004F34DE">
            <w:pPr>
              <w:rPr>
                <w:szCs w:val="22"/>
              </w:rPr>
            </w:pPr>
          </w:p>
        </w:tc>
        <w:tc>
          <w:tcPr>
            <w:tcW w:w="1134" w:type="dxa"/>
            <w:shd w:val="clear" w:color="auto" w:fill="auto"/>
          </w:tcPr>
          <w:p w:rsidR="00414C88" w:rsidRPr="00B570A4" w:rsidRDefault="00414C88" w:rsidP="004F34DE">
            <w:pPr>
              <w:jc w:val="center"/>
              <w:rPr>
                <w:b/>
                <w:szCs w:val="22"/>
              </w:rPr>
            </w:pPr>
            <w:r w:rsidRPr="00B570A4">
              <w:rPr>
                <w:b/>
                <w:szCs w:val="22"/>
              </w:rPr>
              <w:t>Planned (Days)</w:t>
            </w:r>
          </w:p>
        </w:tc>
        <w:tc>
          <w:tcPr>
            <w:tcW w:w="1134" w:type="dxa"/>
            <w:shd w:val="clear" w:color="auto" w:fill="auto"/>
          </w:tcPr>
          <w:p w:rsidR="00414C88" w:rsidRPr="00B570A4" w:rsidRDefault="00414C88" w:rsidP="004F34DE">
            <w:pPr>
              <w:jc w:val="center"/>
              <w:rPr>
                <w:b/>
                <w:szCs w:val="22"/>
              </w:rPr>
            </w:pPr>
            <w:r w:rsidRPr="00B570A4">
              <w:rPr>
                <w:b/>
                <w:szCs w:val="22"/>
              </w:rPr>
              <w:t>Actual (Days)</w:t>
            </w:r>
          </w:p>
        </w:tc>
        <w:tc>
          <w:tcPr>
            <w:tcW w:w="1134" w:type="dxa"/>
            <w:shd w:val="clear" w:color="auto" w:fill="auto"/>
          </w:tcPr>
          <w:p w:rsidR="00414C88" w:rsidRPr="00B570A4" w:rsidRDefault="00414C88" w:rsidP="004F34DE">
            <w:pPr>
              <w:jc w:val="center"/>
              <w:rPr>
                <w:b/>
                <w:szCs w:val="22"/>
              </w:rPr>
            </w:pPr>
            <w:r w:rsidRPr="00B570A4">
              <w:rPr>
                <w:b/>
                <w:szCs w:val="22"/>
              </w:rPr>
              <w:t>Variance</w:t>
            </w:r>
          </w:p>
          <w:p w:rsidR="00414C88" w:rsidRPr="00B570A4" w:rsidRDefault="00414C88" w:rsidP="004F34DE">
            <w:pPr>
              <w:jc w:val="center"/>
              <w:rPr>
                <w:b/>
                <w:szCs w:val="22"/>
              </w:rPr>
            </w:pPr>
            <w:r w:rsidRPr="00B570A4">
              <w:rPr>
                <w:b/>
                <w:szCs w:val="22"/>
              </w:rPr>
              <w:t>(Days)</w:t>
            </w:r>
          </w:p>
        </w:tc>
      </w:tr>
      <w:tr w:rsidR="00414C88" w:rsidRPr="00B570A4" w:rsidTr="00152B71">
        <w:tc>
          <w:tcPr>
            <w:tcW w:w="5670" w:type="dxa"/>
            <w:shd w:val="clear" w:color="auto" w:fill="auto"/>
          </w:tcPr>
          <w:p w:rsidR="00414C88" w:rsidRPr="00785858" w:rsidRDefault="00414C88" w:rsidP="004F34DE">
            <w:pPr>
              <w:rPr>
                <w:szCs w:val="22"/>
              </w:rPr>
            </w:pPr>
            <w:r w:rsidRPr="00785858">
              <w:rPr>
                <w:szCs w:val="22"/>
              </w:rPr>
              <w:t xml:space="preserve">Audits undertaken </w:t>
            </w:r>
          </w:p>
        </w:tc>
        <w:tc>
          <w:tcPr>
            <w:tcW w:w="1134" w:type="dxa"/>
            <w:shd w:val="clear" w:color="auto" w:fill="auto"/>
          </w:tcPr>
          <w:p w:rsidR="00414C88" w:rsidRPr="00785858" w:rsidRDefault="00414C88" w:rsidP="00CA1F15">
            <w:pPr>
              <w:tabs>
                <w:tab w:val="center" w:pos="524"/>
                <w:tab w:val="right" w:pos="1048"/>
              </w:tabs>
              <w:rPr>
                <w:szCs w:val="22"/>
              </w:rPr>
            </w:pPr>
            <w:r w:rsidRPr="00785858">
              <w:rPr>
                <w:szCs w:val="22"/>
              </w:rPr>
              <w:tab/>
            </w:r>
            <w:r w:rsidRPr="00785858">
              <w:rPr>
                <w:szCs w:val="22"/>
              </w:rPr>
              <w:tab/>
            </w:r>
            <w:r w:rsidR="00CA1F15" w:rsidRPr="00785858">
              <w:rPr>
                <w:szCs w:val="22"/>
              </w:rPr>
              <w:t>75</w:t>
            </w:r>
          </w:p>
        </w:tc>
        <w:tc>
          <w:tcPr>
            <w:tcW w:w="1134" w:type="dxa"/>
            <w:shd w:val="clear" w:color="auto" w:fill="auto"/>
          </w:tcPr>
          <w:p w:rsidR="00414C88" w:rsidRPr="00785858" w:rsidRDefault="00CA1F15" w:rsidP="00EC4CAA">
            <w:pPr>
              <w:jc w:val="right"/>
              <w:rPr>
                <w:szCs w:val="22"/>
              </w:rPr>
            </w:pPr>
            <w:r w:rsidRPr="00785858">
              <w:rPr>
                <w:szCs w:val="22"/>
              </w:rPr>
              <w:t>76</w:t>
            </w:r>
          </w:p>
        </w:tc>
        <w:tc>
          <w:tcPr>
            <w:tcW w:w="1134" w:type="dxa"/>
            <w:shd w:val="clear" w:color="auto" w:fill="auto"/>
          </w:tcPr>
          <w:p w:rsidR="00414C88" w:rsidRPr="00785858" w:rsidRDefault="00152B71" w:rsidP="00152B71">
            <w:pPr>
              <w:jc w:val="right"/>
              <w:rPr>
                <w:szCs w:val="22"/>
              </w:rPr>
            </w:pPr>
            <w:r>
              <w:rPr>
                <w:szCs w:val="22"/>
              </w:rPr>
              <w:t xml:space="preserve">          </w:t>
            </w:r>
            <w:r w:rsidR="00EC4CAA">
              <w:rPr>
                <w:szCs w:val="22"/>
              </w:rPr>
              <w:t>(</w:t>
            </w:r>
            <w:r w:rsidR="00CA1F15" w:rsidRPr="00785858">
              <w:rPr>
                <w:szCs w:val="22"/>
              </w:rPr>
              <w:t>1</w:t>
            </w:r>
            <w:r w:rsidR="00EC4CAA">
              <w:rPr>
                <w:szCs w:val="22"/>
              </w:rPr>
              <w:t>)</w:t>
            </w:r>
          </w:p>
        </w:tc>
      </w:tr>
      <w:tr w:rsidR="00414C88" w:rsidRPr="00B570A4" w:rsidTr="00152B71">
        <w:tc>
          <w:tcPr>
            <w:tcW w:w="5670" w:type="dxa"/>
            <w:shd w:val="clear" w:color="auto" w:fill="auto"/>
          </w:tcPr>
          <w:p w:rsidR="00414C88" w:rsidRPr="00785858" w:rsidRDefault="00414C88" w:rsidP="004F34DE">
            <w:pPr>
              <w:rPr>
                <w:szCs w:val="22"/>
              </w:rPr>
            </w:pPr>
            <w:r w:rsidRPr="00785858">
              <w:rPr>
                <w:szCs w:val="22"/>
              </w:rPr>
              <w:t>Contingency</w:t>
            </w:r>
          </w:p>
        </w:tc>
        <w:tc>
          <w:tcPr>
            <w:tcW w:w="1134" w:type="dxa"/>
            <w:shd w:val="clear" w:color="auto" w:fill="auto"/>
          </w:tcPr>
          <w:p w:rsidR="00414C88" w:rsidRPr="00785858" w:rsidRDefault="00CA1F15" w:rsidP="004F34DE">
            <w:pPr>
              <w:jc w:val="right"/>
              <w:rPr>
                <w:szCs w:val="22"/>
              </w:rPr>
            </w:pPr>
            <w:r w:rsidRPr="00785858">
              <w:rPr>
                <w:szCs w:val="22"/>
              </w:rPr>
              <w:t>45</w:t>
            </w:r>
          </w:p>
        </w:tc>
        <w:tc>
          <w:tcPr>
            <w:tcW w:w="1134" w:type="dxa"/>
            <w:shd w:val="clear" w:color="auto" w:fill="auto"/>
          </w:tcPr>
          <w:p w:rsidR="00414C88" w:rsidRPr="00785858" w:rsidRDefault="00CA1F15" w:rsidP="00EC4CAA">
            <w:pPr>
              <w:jc w:val="right"/>
              <w:rPr>
                <w:szCs w:val="22"/>
              </w:rPr>
            </w:pPr>
            <w:r w:rsidRPr="00785858">
              <w:rPr>
                <w:szCs w:val="22"/>
              </w:rPr>
              <w:t>43</w:t>
            </w:r>
          </w:p>
        </w:tc>
        <w:tc>
          <w:tcPr>
            <w:tcW w:w="1134" w:type="dxa"/>
            <w:shd w:val="clear" w:color="auto" w:fill="auto"/>
          </w:tcPr>
          <w:p w:rsidR="00414C88" w:rsidRPr="00785858" w:rsidRDefault="00EC4CAA" w:rsidP="004F34DE">
            <w:pPr>
              <w:jc w:val="right"/>
              <w:rPr>
                <w:szCs w:val="22"/>
              </w:rPr>
            </w:pPr>
            <w:r>
              <w:rPr>
                <w:szCs w:val="22"/>
              </w:rPr>
              <w:t>2</w:t>
            </w:r>
          </w:p>
        </w:tc>
      </w:tr>
      <w:tr w:rsidR="00414C88" w:rsidRPr="00B570A4" w:rsidTr="00152B71">
        <w:tc>
          <w:tcPr>
            <w:tcW w:w="5670" w:type="dxa"/>
            <w:shd w:val="clear" w:color="auto" w:fill="auto"/>
          </w:tcPr>
          <w:p w:rsidR="00414C88" w:rsidRPr="00785858" w:rsidRDefault="00414C88" w:rsidP="004F34DE">
            <w:pPr>
              <w:rPr>
                <w:b/>
                <w:szCs w:val="22"/>
              </w:rPr>
            </w:pPr>
            <w:r w:rsidRPr="00785858">
              <w:rPr>
                <w:b/>
                <w:szCs w:val="22"/>
              </w:rPr>
              <w:t>TOTALS</w:t>
            </w:r>
          </w:p>
        </w:tc>
        <w:tc>
          <w:tcPr>
            <w:tcW w:w="1134" w:type="dxa"/>
            <w:shd w:val="clear" w:color="auto" w:fill="auto"/>
          </w:tcPr>
          <w:p w:rsidR="00414C88" w:rsidRPr="00785858" w:rsidRDefault="00CA1F15" w:rsidP="004F34DE">
            <w:pPr>
              <w:jc w:val="right"/>
              <w:rPr>
                <w:b/>
                <w:szCs w:val="22"/>
              </w:rPr>
            </w:pPr>
            <w:r w:rsidRPr="00785858">
              <w:rPr>
                <w:b/>
                <w:szCs w:val="22"/>
              </w:rPr>
              <w:t>120</w:t>
            </w:r>
          </w:p>
        </w:tc>
        <w:tc>
          <w:tcPr>
            <w:tcW w:w="1134" w:type="dxa"/>
            <w:shd w:val="clear" w:color="auto" w:fill="auto"/>
          </w:tcPr>
          <w:p w:rsidR="00414C88" w:rsidRPr="00785858" w:rsidRDefault="00414C88" w:rsidP="00EC4CAA">
            <w:pPr>
              <w:jc w:val="right"/>
              <w:rPr>
                <w:b/>
                <w:szCs w:val="22"/>
              </w:rPr>
            </w:pPr>
            <w:r w:rsidRPr="00785858">
              <w:rPr>
                <w:b/>
                <w:szCs w:val="22"/>
              </w:rPr>
              <w:t>1</w:t>
            </w:r>
            <w:r w:rsidR="00CA1F15" w:rsidRPr="00785858">
              <w:rPr>
                <w:b/>
                <w:szCs w:val="22"/>
              </w:rPr>
              <w:t>19</w:t>
            </w:r>
          </w:p>
        </w:tc>
        <w:tc>
          <w:tcPr>
            <w:tcW w:w="1134" w:type="dxa"/>
            <w:shd w:val="clear" w:color="auto" w:fill="auto"/>
          </w:tcPr>
          <w:p w:rsidR="00414C88" w:rsidRPr="00785858" w:rsidRDefault="00EC4CAA" w:rsidP="004F34DE">
            <w:pPr>
              <w:jc w:val="right"/>
              <w:rPr>
                <w:b/>
                <w:szCs w:val="22"/>
              </w:rPr>
            </w:pPr>
            <w:r>
              <w:rPr>
                <w:b/>
                <w:szCs w:val="22"/>
              </w:rPr>
              <w:t>1</w:t>
            </w:r>
          </w:p>
          <w:p w:rsidR="00414C88" w:rsidRPr="00785858" w:rsidRDefault="00414C88" w:rsidP="004F34DE">
            <w:pPr>
              <w:jc w:val="right"/>
              <w:rPr>
                <w:b/>
                <w:szCs w:val="22"/>
              </w:rPr>
            </w:pPr>
          </w:p>
        </w:tc>
      </w:tr>
    </w:tbl>
    <w:p w:rsidR="00414C88" w:rsidRDefault="00414C88" w:rsidP="00414C88">
      <w:pPr>
        <w:rPr>
          <w:color w:val="FF0000"/>
          <w:szCs w:val="22"/>
        </w:rPr>
      </w:pPr>
    </w:p>
    <w:p w:rsidR="008E76B5" w:rsidRPr="00790517" w:rsidRDefault="008E76B5" w:rsidP="00414C88">
      <w:pPr>
        <w:rPr>
          <w:color w:val="FF0000"/>
          <w:szCs w:val="22"/>
        </w:rPr>
      </w:pPr>
    </w:p>
    <w:p w:rsidR="00CA1F15" w:rsidRDefault="00CA1F15" w:rsidP="00414C88">
      <w:pPr>
        <w:rPr>
          <w:szCs w:val="22"/>
        </w:rPr>
      </w:pPr>
    </w:p>
    <w:p w:rsidR="00414C88" w:rsidRPr="00391D21" w:rsidRDefault="0089017D" w:rsidP="0008107F">
      <w:pPr>
        <w:pStyle w:val="ListParagraph"/>
        <w:numPr>
          <w:ilvl w:val="0"/>
          <w:numId w:val="24"/>
        </w:numPr>
        <w:ind w:left="709" w:hanging="709"/>
        <w:jc w:val="both"/>
      </w:pPr>
      <w:r w:rsidRPr="00391D21">
        <w:rPr>
          <w:rFonts w:ascii="Arial" w:hAnsi="Arial" w:cs="Arial"/>
          <w:b/>
        </w:rPr>
        <w:tab/>
      </w:r>
      <w:r w:rsidR="00152B71">
        <w:rPr>
          <w:rFonts w:ascii="Arial" w:hAnsi="Arial" w:cs="Arial"/>
          <w:b/>
        </w:rPr>
        <w:t>CONTROLS ASSURANCE</w:t>
      </w:r>
      <w:r w:rsidR="001518A7" w:rsidRPr="00391D21">
        <w:rPr>
          <w:rFonts w:ascii="Arial" w:hAnsi="Arial" w:cs="Arial"/>
          <w:b/>
        </w:rPr>
        <w:t xml:space="preserve"> </w:t>
      </w:r>
    </w:p>
    <w:p w:rsidR="00414C88" w:rsidRDefault="001518A7" w:rsidP="008E76B5">
      <w:pPr>
        <w:autoSpaceDE w:val="0"/>
        <w:autoSpaceDN w:val="0"/>
        <w:adjustRightInd w:val="0"/>
        <w:ind w:left="709" w:hanging="709"/>
        <w:rPr>
          <w:szCs w:val="22"/>
        </w:rPr>
      </w:pPr>
      <w:r>
        <w:rPr>
          <w:rFonts w:cs="Arial"/>
          <w:szCs w:val="22"/>
        </w:rPr>
        <w:t xml:space="preserve">6.1 </w:t>
      </w:r>
      <w:r>
        <w:rPr>
          <w:rFonts w:cs="Arial"/>
          <w:szCs w:val="22"/>
        </w:rPr>
        <w:tab/>
      </w:r>
      <w:r w:rsidR="008E76B5">
        <w:rPr>
          <w:rFonts w:cs="Arial"/>
          <w:szCs w:val="22"/>
        </w:rPr>
        <w:t xml:space="preserve">The Public Sector Internal </w:t>
      </w:r>
      <w:r w:rsidR="00842374">
        <w:rPr>
          <w:rFonts w:cs="Arial"/>
          <w:szCs w:val="22"/>
        </w:rPr>
        <w:t>A</w:t>
      </w:r>
      <w:r w:rsidR="008E76B5">
        <w:rPr>
          <w:rFonts w:cs="Arial"/>
          <w:szCs w:val="22"/>
        </w:rPr>
        <w:t xml:space="preserve">udit Standards require the Head of </w:t>
      </w:r>
      <w:r w:rsidR="00A6792B">
        <w:rPr>
          <w:rFonts w:cs="Arial"/>
          <w:szCs w:val="22"/>
        </w:rPr>
        <w:t xml:space="preserve">Shared Assurance </w:t>
      </w:r>
      <w:r w:rsidR="008E76B5">
        <w:rPr>
          <w:rFonts w:cs="Arial"/>
          <w:szCs w:val="22"/>
        </w:rPr>
        <w:t xml:space="preserve">to give an opinion on the overall adequacy and effectiveness of the Council’s framework of internal control. </w:t>
      </w:r>
      <w:r w:rsidR="00414C88" w:rsidRPr="009E777F">
        <w:rPr>
          <w:szCs w:val="22"/>
        </w:rPr>
        <w:t>Members will recall that individual audits are awarded a separate controls assurance rating</w:t>
      </w:r>
      <w:r w:rsidR="008E76B5">
        <w:rPr>
          <w:szCs w:val="22"/>
        </w:rPr>
        <w:t xml:space="preserve"> f</w:t>
      </w:r>
      <w:r w:rsidR="00414C88">
        <w:rPr>
          <w:szCs w:val="22"/>
        </w:rPr>
        <w:t xml:space="preserve">rom </w:t>
      </w:r>
      <w:r w:rsidR="00414C88" w:rsidRPr="009E777F">
        <w:rPr>
          <w:szCs w:val="22"/>
        </w:rPr>
        <w:t>the following matrix:</w:t>
      </w:r>
    </w:p>
    <w:p w:rsidR="001518A7" w:rsidRPr="009E777F" w:rsidRDefault="001518A7" w:rsidP="00414C88">
      <w:pPr>
        <w:autoSpaceDE w:val="0"/>
        <w:autoSpaceDN w:val="0"/>
        <w:adjustRightInd w:val="0"/>
        <w:rPr>
          <w:szCs w:val="22"/>
        </w:rPr>
      </w:pPr>
    </w:p>
    <w:tbl>
      <w:tblPr>
        <w:tblpPr w:leftFromText="180" w:rightFromText="180" w:bottomFromText="155" w:vertAnchor="text" w:tblpXSpec="center"/>
        <w:tblW w:w="5427" w:type="dxa"/>
        <w:jc w:val="center"/>
        <w:tblLayout w:type="fixed"/>
        <w:tblCellMar>
          <w:left w:w="0" w:type="dxa"/>
          <w:right w:w="0" w:type="dxa"/>
        </w:tblCellMar>
        <w:tblLook w:val="04A0" w:firstRow="1" w:lastRow="0" w:firstColumn="1" w:lastColumn="0" w:noHBand="0" w:noVBand="1"/>
      </w:tblPr>
      <w:tblGrid>
        <w:gridCol w:w="416"/>
        <w:gridCol w:w="616"/>
        <w:gridCol w:w="518"/>
        <w:gridCol w:w="850"/>
        <w:gridCol w:w="1134"/>
        <w:gridCol w:w="978"/>
        <w:gridCol w:w="915"/>
      </w:tblGrid>
      <w:tr w:rsidR="00CA1F15" w:rsidRPr="00863F61" w:rsidTr="00CA1F15">
        <w:trPr>
          <w:cantSplit/>
          <w:trHeight w:val="567"/>
          <w:jc w:val="center"/>
        </w:trPr>
        <w:tc>
          <w:tcPr>
            <w:tcW w:w="416"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rsidR="00CA1F15" w:rsidRPr="00863F61" w:rsidRDefault="00CA1F15" w:rsidP="00CA1F15">
            <w:pPr>
              <w:ind w:left="113" w:right="113"/>
              <w:jc w:val="center"/>
              <w:rPr>
                <w:rFonts w:cs="Arial"/>
                <w:sz w:val="20"/>
              </w:rPr>
            </w:pPr>
            <w:r w:rsidRPr="00863F61">
              <w:rPr>
                <w:rFonts w:cs="Arial"/>
                <w:b/>
                <w:bCs/>
                <w:sz w:val="20"/>
              </w:rPr>
              <w:t>Risk Rating</w:t>
            </w:r>
          </w:p>
        </w:tc>
        <w:tc>
          <w:tcPr>
            <w:tcW w:w="11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1F15" w:rsidRPr="00863F61" w:rsidRDefault="00CA1F15" w:rsidP="00CA1F15">
            <w:pPr>
              <w:rPr>
                <w:rFonts w:cs="Arial"/>
                <w:sz w:val="16"/>
                <w:szCs w:val="16"/>
              </w:rPr>
            </w:pPr>
            <w:r w:rsidRPr="00863F61">
              <w:rPr>
                <w:rFonts w:cs="Arial"/>
                <w:sz w:val="16"/>
                <w:szCs w:val="16"/>
              </w:rPr>
              <w:t>Critical</w:t>
            </w:r>
          </w:p>
        </w:tc>
        <w:tc>
          <w:tcPr>
            <w:tcW w:w="850"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tcPr>
          <w:p w:rsidR="00CA1F15" w:rsidRPr="00863F61" w:rsidRDefault="00CA1F15" w:rsidP="00CA1F15">
            <w:pPr>
              <w:jc w:val="center"/>
              <w:rPr>
                <w:rFonts w:cs="Arial"/>
                <w:b/>
                <w:bCs/>
                <w:sz w:val="16"/>
                <w:szCs w:val="16"/>
              </w:rPr>
            </w:pPr>
            <w:r w:rsidRPr="00863F61">
              <w:rPr>
                <w:rFonts w:cs="Arial"/>
                <w:b/>
                <w:bCs/>
                <w:sz w:val="16"/>
                <w:szCs w:val="16"/>
              </w:rPr>
              <w:t>4</w:t>
            </w:r>
          </w:p>
        </w:tc>
        <w:tc>
          <w:tcPr>
            <w:tcW w:w="1134"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tcPr>
          <w:p w:rsidR="00CA1F15" w:rsidRPr="00863F61" w:rsidRDefault="00CA1F15" w:rsidP="00CA1F15">
            <w:pPr>
              <w:jc w:val="center"/>
              <w:rPr>
                <w:rFonts w:cs="Arial"/>
                <w:b/>
                <w:bCs/>
                <w:sz w:val="16"/>
                <w:szCs w:val="16"/>
              </w:rPr>
            </w:pPr>
            <w:r w:rsidRPr="00863F61">
              <w:rPr>
                <w:rFonts w:cs="Arial"/>
                <w:b/>
                <w:bCs/>
                <w:sz w:val="16"/>
                <w:szCs w:val="16"/>
              </w:rPr>
              <w:t>8</w:t>
            </w:r>
          </w:p>
        </w:tc>
        <w:tc>
          <w:tcPr>
            <w:tcW w:w="978"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vAlign w:val="center"/>
          </w:tcPr>
          <w:p w:rsidR="00CA1F15" w:rsidRPr="00863F61" w:rsidRDefault="00CA1F15" w:rsidP="00CA1F15">
            <w:pPr>
              <w:jc w:val="center"/>
              <w:rPr>
                <w:rFonts w:cs="Arial"/>
                <w:b/>
                <w:bCs/>
                <w:sz w:val="16"/>
                <w:szCs w:val="16"/>
              </w:rPr>
            </w:pPr>
            <w:r w:rsidRPr="00863F61">
              <w:rPr>
                <w:rFonts w:cs="Arial"/>
                <w:b/>
                <w:bCs/>
                <w:sz w:val="16"/>
                <w:szCs w:val="16"/>
              </w:rPr>
              <w:t>12</w:t>
            </w:r>
          </w:p>
        </w:tc>
        <w:tc>
          <w:tcPr>
            <w:tcW w:w="915"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vAlign w:val="center"/>
          </w:tcPr>
          <w:p w:rsidR="00CA1F15" w:rsidRPr="00863F61" w:rsidRDefault="00CA1F15" w:rsidP="00CA1F15">
            <w:pPr>
              <w:jc w:val="center"/>
              <w:rPr>
                <w:rFonts w:cs="Arial"/>
                <w:b/>
                <w:bCs/>
                <w:sz w:val="16"/>
                <w:szCs w:val="16"/>
              </w:rPr>
            </w:pPr>
            <w:r w:rsidRPr="00863F61">
              <w:rPr>
                <w:rFonts w:cs="Arial"/>
                <w:b/>
                <w:bCs/>
                <w:sz w:val="16"/>
                <w:szCs w:val="16"/>
              </w:rPr>
              <w:t>16</w:t>
            </w:r>
          </w:p>
        </w:tc>
      </w:tr>
      <w:tr w:rsidR="00CA1F15" w:rsidRPr="00863F61" w:rsidTr="00CA1F15">
        <w:trPr>
          <w:cantSplit/>
          <w:trHeight w:val="567"/>
          <w:jc w:val="center"/>
        </w:trPr>
        <w:tc>
          <w:tcPr>
            <w:tcW w:w="416" w:type="dxa"/>
            <w:vMerge/>
            <w:tcBorders>
              <w:top w:val="single" w:sz="8" w:space="0" w:color="auto"/>
              <w:left w:val="single" w:sz="8" w:space="0" w:color="auto"/>
              <w:bottom w:val="nil"/>
              <w:right w:val="single" w:sz="8" w:space="0" w:color="auto"/>
            </w:tcBorders>
            <w:vAlign w:val="center"/>
            <w:hideMark/>
          </w:tcPr>
          <w:p w:rsidR="00CA1F15" w:rsidRPr="00863F61" w:rsidRDefault="00CA1F15" w:rsidP="00CA1F15">
            <w:pPr>
              <w:rPr>
                <w:rFonts w:cs="Arial"/>
                <w:sz w:val="20"/>
              </w:rPr>
            </w:pP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A1F15" w:rsidRPr="00863F61" w:rsidRDefault="00CA1F15" w:rsidP="00CA1F15">
            <w:pPr>
              <w:rPr>
                <w:rFonts w:cs="Arial"/>
                <w:sz w:val="16"/>
                <w:szCs w:val="16"/>
              </w:rPr>
            </w:pPr>
            <w:r w:rsidRPr="00863F61">
              <w:rPr>
                <w:rFonts w:cs="Arial"/>
                <w:sz w:val="16"/>
                <w:szCs w:val="16"/>
              </w:rPr>
              <w:t>Major</w:t>
            </w:r>
          </w:p>
        </w:tc>
        <w:tc>
          <w:tcPr>
            <w:tcW w:w="850" w:type="dxa"/>
            <w:tcBorders>
              <w:top w:val="nil"/>
              <w:left w:val="nil"/>
              <w:bottom w:val="single" w:sz="8" w:space="0" w:color="auto"/>
              <w:right w:val="single" w:sz="8" w:space="0" w:color="auto"/>
            </w:tcBorders>
            <w:shd w:val="clear" w:color="auto" w:fill="339966"/>
            <w:tcMar>
              <w:top w:w="0" w:type="dxa"/>
              <w:left w:w="108" w:type="dxa"/>
              <w:bottom w:w="0" w:type="dxa"/>
              <w:right w:w="108" w:type="dxa"/>
            </w:tcMar>
            <w:vAlign w:val="center"/>
          </w:tcPr>
          <w:p w:rsidR="00CA1F15" w:rsidRPr="00863F61" w:rsidRDefault="00CA1F15" w:rsidP="00CA1F15">
            <w:pPr>
              <w:jc w:val="center"/>
              <w:rPr>
                <w:rFonts w:cs="Arial"/>
                <w:b/>
                <w:bCs/>
                <w:sz w:val="16"/>
                <w:szCs w:val="16"/>
              </w:rPr>
            </w:pPr>
            <w:r w:rsidRPr="00863F61">
              <w:rPr>
                <w:rFonts w:cs="Arial"/>
                <w:b/>
                <w:bCs/>
                <w:sz w:val="16"/>
                <w:szCs w:val="16"/>
              </w:rPr>
              <w:t>3</w:t>
            </w:r>
          </w:p>
        </w:tc>
        <w:tc>
          <w:tcPr>
            <w:tcW w:w="1134"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tcPr>
          <w:p w:rsidR="00CA1F15" w:rsidRPr="00863F61" w:rsidRDefault="00CA1F15" w:rsidP="00CA1F15">
            <w:pPr>
              <w:jc w:val="center"/>
              <w:rPr>
                <w:rFonts w:cs="Arial"/>
                <w:b/>
                <w:bCs/>
                <w:sz w:val="16"/>
                <w:szCs w:val="16"/>
              </w:rPr>
            </w:pPr>
            <w:r w:rsidRPr="00863F61">
              <w:rPr>
                <w:rFonts w:cs="Arial"/>
                <w:b/>
                <w:bCs/>
                <w:sz w:val="16"/>
                <w:szCs w:val="16"/>
              </w:rPr>
              <w:t>6</w:t>
            </w:r>
          </w:p>
        </w:tc>
        <w:tc>
          <w:tcPr>
            <w:tcW w:w="978"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tcPr>
          <w:p w:rsidR="00CA1F15" w:rsidRPr="00863F61" w:rsidRDefault="00CA1F15" w:rsidP="00CA1F15">
            <w:pPr>
              <w:jc w:val="center"/>
              <w:rPr>
                <w:rFonts w:cs="Arial"/>
                <w:b/>
                <w:bCs/>
                <w:sz w:val="16"/>
                <w:szCs w:val="16"/>
              </w:rPr>
            </w:pPr>
            <w:r w:rsidRPr="00863F61">
              <w:rPr>
                <w:rFonts w:cs="Arial"/>
                <w:b/>
                <w:bCs/>
                <w:sz w:val="16"/>
                <w:szCs w:val="16"/>
              </w:rPr>
              <w:t>9</w:t>
            </w:r>
          </w:p>
        </w:tc>
        <w:tc>
          <w:tcPr>
            <w:tcW w:w="915"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tcPr>
          <w:p w:rsidR="00CA1F15" w:rsidRPr="00863F61" w:rsidRDefault="00CA1F15" w:rsidP="00CA1F15">
            <w:pPr>
              <w:jc w:val="center"/>
              <w:rPr>
                <w:rFonts w:cs="Arial"/>
                <w:b/>
                <w:bCs/>
                <w:sz w:val="16"/>
                <w:szCs w:val="16"/>
              </w:rPr>
            </w:pPr>
            <w:r w:rsidRPr="00863F61">
              <w:rPr>
                <w:rFonts w:cs="Arial"/>
                <w:b/>
                <w:bCs/>
                <w:sz w:val="16"/>
                <w:szCs w:val="16"/>
              </w:rPr>
              <w:t>12</w:t>
            </w:r>
          </w:p>
        </w:tc>
      </w:tr>
      <w:tr w:rsidR="00CA1F15" w:rsidRPr="00863F61" w:rsidTr="00CA1F15">
        <w:trPr>
          <w:cantSplit/>
          <w:trHeight w:val="567"/>
          <w:jc w:val="center"/>
        </w:trPr>
        <w:tc>
          <w:tcPr>
            <w:tcW w:w="416" w:type="dxa"/>
            <w:vMerge/>
            <w:tcBorders>
              <w:top w:val="single" w:sz="8" w:space="0" w:color="auto"/>
              <w:left w:val="single" w:sz="8" w:space="0" w:color="auto"/>
              <w:bottom w:val="nil"/>
              <w:right w:val="single" w:sz="8" w:space="0" w:color="auto"/>
            </w:tcBorders>
            <w:vAlign w:val="center"/>
            <w:hideMark/>
          </w:tcPr>
          <w:p w:rsidR="00CA1F15" w:rsidRPr="00863F61" w:rsidRDefault="00CA1F15" w:rsidP="00CA1F15">
            <w:pPr>
              <w:rPr>
                <w:rFonts w:cs="Arial"/>
                <w:sz w:val="20"/>
              </w:rPr>
            </w:pP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CA1F15" w:rsidRPr="00863F61" w:rsidRDefault="00CA1F15" w:rsidP="00CA1F15">
            <w:pPr>
              <w:rPr>
                <w:rFonts w:cs="Arial"/>
                <w:sz w:val="16"/>
                <w:szCs w:val="16"/>
              </w:rPr>
            </w:pPr>
          </w:p>
          <w:p w:rsidR="00CA1F15" w:rsidRPr="00863F61" w:rsidRDefault="00CA1F15" w:rsidP="00CA1F15">
            <w:pPr>
              <w:rPr>
                <w:rFonts w:cs="Arial"/>
                <w:sz w:val="16"/>
                <w:szCs w:val="16"/>
              </w:rPr>
            </w:pPr>
            <w:r w:rsidRPr="00863F61">
              <w:rPr>
                <w:rFonts w:cs="Arial"/>
                <w:sz w:val="16"/>
                <w:szCs w:val="16"/>
              </w:rPr>
              <w:t>Standard</w:t>
            </w:r>
          </w:p>
        </w:tc>
        <w:tc>
          <w:tcPr>
            <w:tcW w:w="850" w:type="dxa"/>
            <w:tcBorders>
              <w:top w:val="nil"/>
              <w:left w:val="nil"/>
              <w:bottom w:val="single" w:sz="8" w:space="0" w:color="auto"/>
              <w:right w:val="single" w:sz="8" w:space="0" w:color="auto"/>
            </w:tcBorders>
            <w:shd w:val="clear" w:color="auto" w:fill="339966"/>
            <w:tcMar>
              <w:top w:w="0" w:type="dxa"/>
              <w:left w:w="108" w:type="dxa"/>
              <w:bottom w:w="0" w:type="dxa"/>
              <w:right w:w="108" w:type="dxa"/>
            </w:tcMar>
            <w:vAlign w:val="center"/>
          </w:tcPr>
          <w:p w:rsidR="00CA1F15" w:rsidRPr="00863F61" w:rsidRDefault="00CA1F15" w:rsidP="00CA1F15">
            <w:pPr>
              <w:jc w:val="center"/>
              <w:rPr>
                <w:rFonts w:cs="Arial"/>
                <w:b/>
                <w:bCs/>
                <w:sz w:val="16"/>
                <w:szCs w:val="16"/>
              </w:rPr>
            </w:pPr>
            <w:r w:rsidRPr="00863F61">
              <w:rPr>
                <w:rFonts w:cs="Arial"/>
                <w:b/>
                <w:bCs/>
                <w:sz w:val="16"/>
                <w:szCs w:val="16"/>
              </w:rPr>
              <w:t>2</w:t>
            </w:r>
          </w:p>
        </w:tc>
        <w:tc>
          <w:tcPr>
            <w:tcW w:w="1134" w:type="dxa"/>
            <w:tcBorders>
              <w:top w:val="nil"/>
              <w:left w:val="nil"/>
              <w:bottom w:val="single" w:sz="8" w:space="0" w:color="auto"/>
              <w:right w:val="single" w:sz="8" w:space="0" w:color="auto"/>
            </w:tcBorders>
            <w:shd w:val="clear" w:color="auto" w:fill="339966"/>
            <w:tcMar>
              <w:top w:w="0" w:type="dxa"/>
              <w:left w:w="108" w:type="dxa"/>
              <w:bottom w:w="0" w:type="dxa"/>
              <w:right w:w="108" w:type="dxa"/>
            </w:tcMar>
            <w:vAlign w:val="center"/>
          </w:tcPr>
          <w:p w:rsidR="00CA1F15" w:rsidRPr="00863F61" w:rsidRDefault="00CA1F15" w:rsidP="00CA1F15">
            <w:pPr>
              <w:jc w:val="center"/>
              <w:rPr>
                <w:rFonts w:cs="Arial"/>
                <w:b/>
                <w:bCs/>
                <w:sz w:val="16"/>
                <w:szCs w:val="16"/>
              </w:rPr>
            </w:pPr>
            <w:r w:rsidRPr="00863F61">
              <w:rPr>
                <w:rFonts w:cs="Arial"/>
                <w:b/>
                <w:bCs/>
                <w:sz w:val="16"/>
                <w:szCs w:val="16"/>
              </w:rPr>
              <w:t>4</w:t>
            </w:r>
          </w:p>
        </w:tc>
        <w:tc>
          <w:tcPr>
            <w:tcW w:w="978"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tcPr>
          <w:p w:rsidR="00CA1F15" w:rsidRPr="00863F61" w:rsidRDefault="00CA1F15" w:rsidP="00CA1F15">
            <w:pPr>
              <w:jc w:val="center"/>
              <w:rPr>
                <w:rFonts w:cs="Arial"/>
                <w:b/>
                <w:bCs/>
                <w:sz w:val="16"/>
                <w:szCs w:val="16"/>
              </w:rPr>
            </w:pPr>
            <w:r w:rsidRPr="00863F61">
              <w:rPr>
                <w:rFonts w:cs="Arial"/>
                <w:b/>
                <w:bCs/>
                <w:sz w:val="16"/>
                <w:szCs w:val="16"/>
              </w:rPr>
              <w:t>6</w:t>
            </w:r>
          </w:p>
        </w:tc>
        <w:tc>
          <w:tcPr>
            <w:tcW w:w="915"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tcPr>
          <w:p w:rsidR="00CA1F15" w:rsidRPr="00863F61" w:rsidRDefault="00CA1F15" w:rsidP="00CA1F15">
            <w:pPr>
              <w:jc w:val="center"/>
              <w:rPr>
                <w:rFonts w:cs="Arial"/>
                <w:b/>
                <w:bCs/>
                <w:sz w:val="16"/>
                <w:szCs w:val="16"/>
              </w:rPr>
            </w:pPr>
            <w:r w:rsidRPr="00863F61">
              <w:rPr>
                <w:rFonts w:cs="Arial"/>
                <w:b/>
                <w:bCs/>
                <w:sz w:val="16"/>
                <w:szCs w:val="16"/>
              </w:rPr>
              <w:t>8</w:t>
            </w:r>
          </w:p>
        </w:tc>
      </w:tr>
      <w:tr w:rsidR="00CA1F15" w:rsidRPr="00863F61" w:rsidTr="00CA1F15">
        <w:trPr>
          <w:cantSplit/>
          <w:trHeight w:val="615"/>
          <w:jc w:val="center"/>
        </w:trPr>
        <w:tc>
          <w:tcPr>
            <w:tcW w:w="416" w:type="dxa"/>
            <w:vMerge/>
            <w:tcBorders>
              <w:top w:val="single" w:sz="8" w:space="0" w:color="auto"/>
              <w:left w:val="single" w:sz="8" w:space="0" w:color="auto"/>
              <w:bottom w:val="nil"/>
              <w:right w:val="single" w:sz="8" w:space="0" w:color="auto"/>
            </w:tcBorders>
            <w:vAlign w:val="center"/>
            <w:hideMark/>
          </w:tcPr>
          <w:p w:rsidR="00CA1F15" w:rsidRPr="00863F61" w:rsidRDefault="00CA1F15" w:rsidP="00CA1F15">
            <w:pPr>
              <w:rPr>
                <w:rFonts w:cs="Arial"/>
                <w:sz w:val="20"/>
              </w:rPr>
            </w:pP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CA1F15" w:rsidRPr="00863F61" w:rsidRDefault="00CA1F15" w:rsidP="00CA1F15">
            <w:pPr>
              <w:rPr>
                <w:rFonts w:cs="Arial"/>
                <w:sz w:val="16"/>
                <w:szCs w:val="16"/>
              </w:rPr>
            </w:pPr>
          </w:p>
          <w:p w:rsidR="00CA1F15" w:rsidRPr="00863F61" w:rsidRDefault="00CA1F15" w:rsidP="00CA1F15">
            <w:pPr>
              <w:rPr>
                <w:rFonts w:cs="Arial"/>
                <w:sz w:val="16"/>
                <w:szCs w:val="16"/>
              </w:rPr>
            </w:pPr>
            <w:r w:rsidRPr="00863F61">
              <w:rPr>
                <w:rFonts w:cs="Arial"/>
                <w:sz w:val="16"/>
                <w:szCs w:val="16"/>
              </w:rPr>
              <w:t>Minor</w:t>
            </w:r>
          </w:p>
        </w:tc>
        <w:tc>
          <w:tcPr>
            <w:tcW w:w="850" w:type="dxa"/>
            <w:tcBorders>
              <w:top w:val="nil"/>
              <w:left w:val="nil"/>
              <w:bottom w:val="single" w:sz="8" w:space="0" w:color="auto"/>
              <w:right w:val="single" w:sz="8" w:space="0" w:color="auto"/>
            </w:tcBorders>
            <w:shd w:val="clear" w:color="auto" w:fill="339966"/>
            <w:tcMar>
              <w:top w:w="0" w:type="dxa"/>
              <w:left w:w="108" w:type="dxa"/>
              <w:bottom w:w="0" w:type="dxa"/>
              <w:right w:w="108" w:type="dxa"/>
            </w:tcMar>
            <w:vAlign w:val="center"/>
          </w:tcPr>
          <w:p w:rsidR="00CA1F15" w:rsidRPr="00863F61" w:rsidRDefault="00CA1F15" w:rsidP="00CA1F15">
            <w:pPr>
              <w:jc w:val="center"/>
              <w:rPr>
                <w:rFonts w:cs="Arial"/>
                <w:b/>
                <w:bCs/>
                <w:sz w:val="16"/>
                <w:szCs w:val="16"/>
              </w:rPr>
            </w:pPr>
            <w:r w:rsidRPr="00863F61">
              <w:rPr>
                <w:rFonts w:cs="Arial"/>
                <w:b/>
                <w:bCs/>
                <w:sz w:val="16"/>
                <w:szCs w:val="16"/>
              </w:rPr>
              <w:t>1</w:t>
            </w:r>
          </w:p>
        </w:tc>
        <w:tc>
          <w:tcPr>
            <w:tcW w:w="1134" w:type="dxa"/>
            <w:tcBorders>
              <w:top w:val="nil"/>
              <w:left w:val="nil"/>
              <w:bottom w:val="single" w:sz="8" w:space="0" w:color="auto"/>
              <w:right w:val="single" w:sz="8" w:space="0" w:color="auto"/>
            </w:tcBorders>
            <w:shd w:val="clear" w:color="auto" w:fill="339966"/>
            <w:tcMar>
              <w:top w:w="0" w:type="dxa"/>
              <w:left w:w="108" w:type="dxa"/>
              <w:bottom w:w="0" w:type="dxa"/>
              <w:right w:w="108" w:type="dxa"/>
            </w:tcMar>
            <w:vAlign w:val="center"/>
          </w:tcPr>
          <w:p w:rsidR="00CA1F15" w:rsidRPr="00863F61" w:rsidRDefault="00CA1F15" w:rsidP="00CA1F15">
            <w:pPr>
              <w:jc w:val="center"/>
              <w:rPr>
                <w:rFonts w:cs="Arial"/>
                <w:sz w:val="16"/>
                <w:szCs w:val="16"/>
              </w:rPr>
            </w:pPr>
            <w:r w:rsidRPr="00863F61">
              <w:rPr>
                <w:rFonts w:cs="Arial"/>
                <w:sz w:val="16"/>
                <w:szCs w:val="16"/>
              </w:rPr>
              <w:t>2</w:t>
            </w:r>
          </w:p>
        </w:tc>
        <w:tc>
          <w:tcPr>
            <w:tcW w:w="978" w:type="dxa"/>
            <w:tcBorders>
              <w:top w:val="nil"/>
              <w:left w:val="nil"/>
              <w:bottom w:val="single" w:sz="8" w:space="0" w:color="auto"/>
              <w:right w:val="single" w:sz="8" w:space="0" w:color="auto"/>
            </w:tcBorders>
            <w:shd w:val="clear" w:color="auto" w:fill="339966"/>
            <w:tcMar>
              <w:top w:w="0" w:type="dxa"/>
              <w:left w:w="108" w:type="dxa"/>
              <w:bottom w:w="0" w:type="dxa"/>
              <w:right w:w="108" w:type="dxa"/>
            </w:tcMar>
            <w:vAlign w:val="center"/>
          </w:tcPr>
          <w:p w:rsidR="00CA1F15" w:rsidRPr="00863F61" w:rsidRDefault="00CA1F15" w:rsidP="00CA1F15">
            <w:pPr>
              <w:jc w:val="center"/>
              <w:rPr>
                <w:rFonts w:cs="Arial"/>
                <w:b/>
                <w:bCs/>
                <w:sz w:val="16"/>
                <w:szCs w:val="16"/>
              </w:rPr>
            </w:pPr>
            <w:r w:rsidRPr="00863F61">
              <w:rPr>
                <w:rFonts w:cs="Arial"/>
                <w:b/>
                <w:bCs/>
                <w:sz w:val="16"/>
                <w:szCs w:val="16"/>
              </w:rPr>
              <w:t>3</w:t>
            </w:r>
          </w:p>
        </w:tc>
        <w:tc>
          <w:tcPr>
            <w:tcW w:w="915"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tcPr>
          <w:p w:rsidR="00CA1F15" w:rsidRPr="00863F61" w:rsidRDefault="00CA1F15" w:rsidP="00CA1F15">
            <w:pPr>
              <w:jc w:val="center"/>
              <w:rPr>
                <w:rFonts w:cs="Arial"/>
                <w:b/>
                <w:bCs/>
                <w:sz w:val="16"/>
                <w:szCs w:val="16"/>
              </w:rPr>
            </w:pPr>
            <w:r w:rsidRPr="00863F61">
              <w:rPr>
                <w:rFonts w:cs="Arial"/>
                <w:b/>
                <w:bCs/>
                <w:sz w:val="16"/>
                <w:szCs w:val="16"/>
              </w:rPr>
              <w:t>4</w:t>
            </w:r>
          </w:p>
        </w:tc>
      </w:tr>
      <w:tr w:rsidR="00CA1F15" w:rsidRPr="00863F61" w:rsidTr="00CA1F15">
        <w:trPr>
          <w:cantSplit/>
          <w:trHeight w:val="159"/>
          <w:jc w:val="center"/>
        </w:trPr>
        <w:tc>
          <w:tcPr>
            <w:tcW w:w="416" w:type="dxa"/>
            <w:tcBorders>
              <w:top w:val="nil"/>
              <w:left w:val="single" w:sz="8" w:space="0" w:color="auto"/>
              <w:bottom w:val="nil"/>
              <w:right w:val="nil"/>
            </w:tcBorders>
            <w:tcMar>
              <w:top w:w="0" w:type="dxa"/>
              <w:left w:w="108" w:type="dxa"/>
              <w:bottom w:w="0" w:type="dxa"/>
              <w:right w:w="108" w:type="dxa"/>
            </w:tcMar>
          </w:tcPr>
          <w:p w:rsidR="00CA1F15" w:rsidRPr="00863F61" w:rsidRDefault="00CA1F15" w:rsidP="00CA1F15">
            <w:pPr>
              <w:rPr>
                <w:rFonts w:cs="Arial"/>
                <w:sz w:val="20"/>
              </w:rPr>
            </w:pPr>
          </w:p>
        </w:tc>
        <w:tc>
          <w:tcPr>
            <w:tcW w:w="1134" w:type="dxa"/>
            <w:gridSpan w:val="2"/>
            <w:tcBorders>
              <w:top w:val="nil"/>
              <w:left w:val="nil"/>
              <w:bottom w:val="nil"/>
              <w:right w:val="single" w:sz="8" w:space="0" w:color="auto"/>
            </w:tcBorders>
            <w:tcMar>
              <w:top w:w="0" w:type="dxa"/>
              <w:left w:w="108" w:type="dxa"/>
              <w:bottom w:w="0" w:type="dxa"/>
              <w:right w:w="108" w:type="dxa"/>
            </w:tcMar>
          </w:tcPr>
          <w:p w:rsidR="00CA1F15" w:rsidRPr="00863F61" w:rsidRDefault="00CA1F15" w:rsidP="00CA1F15">
            <w:pPr>
              <w:rPr>
                <w:rFonts w:cs="Arial"/>
                <w:sz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A1F15" w:rsidRPr="00863F61" w:rsidRDefault="00CA1F15" w:rsidP="00CA1F15">
            <w:pPr>
              <w:jc w:val="center"/>
              <w:rPr>
                <w:rFonts w:cs="Arial"/>
                <w:sz w:val="16"/>
                <w:szCs w:val="16"/>
              </w:rPr>
            </w:pPr>
            <w:r w:rsidRPr="00863F61">
              <w:rPr>
                <w:rFonts w:cs="Arial"/>
                <w:sz w:val="16"/>
                <w:szCs w:val="16"/>
              </w:rPr>
              <w:t>Full</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A1F15" w:rsidRPr="00863F61" w:rsidRDefault="00CA1F15" w:rsidP="00CA1F15">
            <w:pPr>
              <w:jc w:val="center"/>
              <w:rPr>
                <w:rFonts w:cs="Arial"/>
                <w:sz w:val="16"/>
                <w:szCs w:val="16"/>
              </w:rPr>
            </w:pPr>
            <w:r w:rsidRPr="00863F61">
              <w:rPr>
                <w:rFonts w:cs="Arial"/>
                <w:sz w:val="16"/>
                <w:szCs w:val="16"/>
              </w:rPr>
              <w:t>Substantial</w:t>
            </w:r>
          </w:p>
        </w:tc>
        <w:tc>
          <w:tcPr>
            <w:tcW w:w="978" w:type="dxa"/>
            <w:tcBorders>
              <w:top w:val="nil"/>
              <w:left w:val="nil"/>
              <w:bottom w:val="single" w:sz="8" w:space="0" w:color="auto"/>
              <w:right w:val="single" w:sz="8" w:space="0" w:color="auto"/>
            </w:tcBorders>
            <w:tcMar>
              <w:top w:w="0" w:type="dxa"/>
              <w:left w:w="108" w:type="dxa"/>
              <w:bottom w:w="0" w:type="dxa"/>
              <w:right w:w="108" w:type="dxa"/>
            </w:tcMar>
          </w:tcPr>
          <w:p w:rsidR="00CA1F15" w:rsidRPr="00863F61" w:rsidRDefault="00CA1F15" w:rsidP="00CA1F15">
            <w:pPr>
              <w:jc w:val="center"/>
              <w:rPr>
                <w:rFonts w:cs="Arial"/>
                <w:sz w:val="16"/>
                <w:szCs w:val="16"/>
              </w:rPr>
            </w:pPr>
            <w:r w:rsidRPr="00863F61">
              <w:rPr>
                <w:rFonts w:cs="Arial"/>
                <w:sz w:val="16"/>
                <w:szCs w:val="16"/>
              </w:rPr>
              <w:t>Adequate</w:t>
            </w:r>
          </w:p>
        </w:tc>
        <w:tc>
          <w:tcPr>
            <w:tcW w:w="915" w:type="dxa"/>
            <w:tcBorders>
              <w:top w:val="nil"/>
              <w:left w:val="nil"/>
              <w:bottom w:val="single" w:sz="8" w:space="0" w:color="auto"/>
              <w:right w:val="single" w:sz="8" w:space="0" w:color="auto"/>
            </w:tcBorders>
            <w:tcMar>
              <w:top w:w="0" w:type="dxa"/>
              <w:left w:w="108" w:type="dxa"/>
              <w:bottom w:w="0" w:type="dxa"/>
              <w:right w:w="108" w:type="dxa"/>
            </w:tcMar>
          </w:tcPr>
          <w:p w:rsidR="00CA1F15" w:rsidRPr="00863F61" w:rsidRDefault="00CA1F15" w:rsidP="00CA1F15">
            <w:pPr>
              <w:ind w:right="33"/>
              <w:rPr>
                <w:rFonts w:cs="Arial"/>
                <w:sz w:val="16"/>
                <w:szCs w:val="16"/>
              </w:rPr>
            </w:pPr>
            <w:r w:rsidRPr="00863F61">
              <w:rPr>
                <w:rFonts w:cs="Arial"/>
                <w:sz w:val="16"/>
                <w:szCs w:val="16"/>
              </w:rPr>
              <w:t>Limited</w:t>
            </w:r>
          </w:p>
        </w:tc>
      </w:tr>
      <w:tr w:rsidR="00CA1F15" w:rsidRPr="00863F61" w:rsidTr="00CA1F15">
        <w:trPr>
          <w:cantSplit/>
          <w:trHeight w:val="176"/>
          <w:jc w:val="center"/>
        </w:trPr>
        <w:tc>
          <w:tcPr>
            <w:tcW w:w="1032" w:type="dxa"/>
            <w:gridSpan w:val="2"/>
            <w:tcBorders>
              <w:top w:val="nil"/>
              <w:left w:val="single" w:sz="8" w:space="0" w:color="auto"/>
              <w:bottom w:val="single" w:sz="8" w:space="0" w:color="auto"/>
              <w:right w:val="nil"/>
            </w:tcBorders>
            <w:tcMar>
              <w:top w:w="0" w:type="dxa"/>
              <w:left w:w="108" w:type="dxa"/>
              <w:bottom w:w="0" w:type="dxa"/>
              <w:right w:w="108" w:type="dxa"/>
            </w:tcMar>
          </w:tcPr>
          <w:p w:rsidR="00CA1F15" w:rsidRPr="00863F61" w:rsidRDefault="00CA1F15" w:rsidP="00CA1F15">
            <w:pPr>
              <w:rPr>
                <w:rFonts w:cs="Arial"/>
                <w:sz w:val="20"/>
              </w:rPr>
            </w:pPr>
          </w:p>
        </w:tc>
        <w:tc>
          <w:tcPr>
            <w:tcW w:w="518" w:type="dxa"/>
            <w:tcBorders>
              <w:top w:val="nil"/>
              <w:left w:val="nil"/>
              <w:bottom w:val="single" w:sz="8" w:space="0" w:color="auto"/>
              <w:right w:val="nil"/>
            </w:tcBorders>
            <w:tcMar>
              <w:top w:w="0" w:type="dxa"/>
              <w:left w:w="108" w:type="dxa"/>
              <w:bottom w:w="0" w:type="dxa"/>
              <w:right w:w="108" w:type="dxa"/>
            </w:tcMar>
          </w:tcPr>
          <w:p w:rsidR="00CA1F15" w:rsidRPr="00863F61" w:rsidRDefault="00CA1F15" w:rsidP="00CA1F15">
            <w:pPr>
              <w:rPr>
                <w:rFonts w:cs="Arial"/>
                <w:sz w:val="20"/>
              </w:rPr>
            </w:pPr>
          </w:p>
        </w:tc>
        <w:tc>
          <w:tcPr>
            <w:tcW w:w="850" w:type="dxa"/>
            <w:tcBorders>
              <w:top w:val="nil"/>
              <w:left w:val="nil"/>
              <w:bottom w:val="single" w:sz="8" w:space="0" w:color="auto"/>
              <w:right w:val="nil"/>
            </w:tcBorders>
            <w:tcMar>
              <w:top w:w="0" w:type="dxa"/>
              <w:left w:w="108" w:type="dxa"/>
              <w:bottom w:w="0" w:type="dxa"/>
              <w:right w:w="108" w:type="dxa"/>
            </w:tcMar>
          </w:tcPr>
          <w:p w:rsidR="00CA1F15" w:rsidRPr="00863F61" w:rsidRDefault="00CA1F15" w:rsidP="00CA1F15">
            <w:pPr>
              <w:jc w:val="center"/>
              <w:rPr>
                <w:rFonts w:cs="Arial"/>
                <w:b/>
                <w:bCs/>
                <w:sz w:val="20"/>
              </w:rPr>
            </w:pPr>
          </w:p>
        </w:tc>
        <w:tc>
          <w:tcPr>
            <w:tcW w:w="302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A1F15" w:rsidRPr="00863F61" w:rsidRDefault="00CA1F15" w:rsidP="00CA1F15">
            <w:pPr>
              <w:jc w:val="both"/>
              <w:rPr>
                <w:rFonts w:cs="Arial"/>
                <w:b/>
                <w:bCs/>
                <w:sz w:val="20"/>
              </w:rPr>
            </w:pPr>
            <w:r w:rsidRPr="00863F61">
              <w:rPr>
                <w:rFonts w:cs="Arial"/>
                <w:b/>
                <w:bCs/>
                <w:sz w:val="20"/>
              </w:rPr>
              <w:t xml:space="preserve"> Control Rating</w:t>
            </w:r>
          </w:p>
        </w:tc>
      </w:tr>
    </w:tbl>
    <w:p w:rsidR="00414C88" w:rsidRDefault="00414C88" w:rsidP="00414C88">
      <w:pPr>
        <w:jc w:val="both"/>
        <w:rPr>
          <w:color w:val="FF0000"/>
        </w:rPr>
      </w:pPr>
    </w:p>
    <w:p w:rsidR="00414C88" w:rsidRDefault="00414C88" w:rsidP="00414C88">
      <w:pPr>
        <w:jc w:val="both"/>
        <w:rPr>
          <w:color w:val="FF0000"/>
        </w:rPr>
      </w:pPr>
    </w:p>
    <w:p w:rsidR="00414C88" w:rsidRDefault="00414C88" w:rsidP="00414C88">
      <w:pPr>
        <w:jc w:val="both"/>
        <w:rPr>
          <w:color w:val="FF0000"/>
        </w:rPr>
      </w:pPr>
    </w:p>
    <w:p w:rsidR="00414C88" w:rsidRDefault="00414C88" w:rsidP="00414C88">
      <w:pPr>
        <w:jc w:val="both"/>
        <w:rPr>
          <w:color w:val="FF0000"/>
        </w:rPr>
      </w:pPr>
    </w:p>
    <w:p w:rsidR="00414C88" w:rsidRDefault="00414C88" w:rsidP="00414C88">
      <w:pPr>
        <w:jc w:val="both"/>
        <w:rPr>
          <w:color w:val="FF0000"/>
        </w:rPr>
      </w:pPr>
    </w:p>
    <w:p w:rsidR="00414C88" w:rsidRDefault="00414C88" w:rsidP="00414C88">
      <w:pPr>
        <w:jc w:val="both"/>
        <w:rPr>
          <w:color w:val="FF0000"/>
        </w:rPr>
      </w:pPr>
    </w:p>
    <w:p w:rsidR="00414C88" w:rsidRDefault="00414C88" w:rsidP="00414C88">
      <w:pPr>
        <w:jc w:val="both"/>
        <w:rPr>
          <w:color w:val="FF0000"/>
        </w:rPr>
      </w:pPr>
    </w:p>
    <w:p w:rsidR="00414C88" w:rsidRDefault="00414C88" w:rsidP="00414C88">
      <w:pPr>
        <w:jc w:val="both"/>
        <w:rPr>
          <w:color w:val="FF0000"/>
        </w:rPr>
      </w:pPr>
    </w:p>
    <w:p w:rsidR="00414C88" w:rsidRDefault="00414C88" w:rsidP="00414C88">
      <w:pPr>
        <w:jc w:val="both"/>
        <w:rPr>
          <w:color w:val="FF0000"/>
        </w:rPr>
      </w:pPr>
    </w:p>
    <w:p w:rsidR="00414C88" w:rsidRDefault="00414C88" w:rsidP="00414C88">
      <w:pPr>
        <w:jc w:val="both"/>
        <w:rPr>
          <w:color w:val="FF0000"/>
        </w:rPr>
      </w:pPr>
    </w:p>
    <w:p w:rsidR="00414C88" w:rsidRPr="0024481A" w:rsidRDefault="00414C88" w:rsidP="00414C88">
      <w:pPr>
        <w:jc w:val="both"/>
        <w:rPr>
          <w:color w:val="FF0000"/>
        </w:rPr>
      </w:pPr>
    </w:p>
    <w:p w:rsidR="00414C88" w:rsidRDefault="00414C88" w:rsidP="00414C88">
      <w:pPr>
        <w:autoSpaceDE w:val="0"/>
        <w:autoSpaceDN w:val="0"/>
        <w:adjustRightInd w:val="0"/>
        <w:rPr>
          <w:szCs w:val="22"/>
        </w:rPr>
      </w:pPr>
    </w:p>
    <w:p w:rsidR="00CA1F15" w:rsidRDefault="00CA1F15" w:rsidP="00414C88">
      <w:pPr>
        <w:autoSpaceDE w:val="0"/>
        <w:autoSpaceDN w:val="0"/>
        <w:adjustRightInd w:val="0"/>
        <w:rPr>
          <w:szCs w:val="22"/>
        </w:rPr>
      </w:pPr>
    </w:p>
    <w:p w:rsidR="00414C88" w:rsidRDefault="001518A7" w:rsidP="00152B71">
      <w:pPr>
        <w:autoSpaceDE w:val="0"/>
        <w:autoSpaceDN w:val="0"/>
        <w:adjustRightInd w:val="0"/>
        <w:ind w:left="720" w:hanging="720"/>
        <w:rPr>
          <w:szCs w:val="22"/>
        </w:rPr>
      </w:pPr>
      <w:r>
        <w:rPr>
          <w:szCs w:val="22"/>
        </w:rPr>
        <w:t>6.</w:t>
      </w:r>
      <w:r w:rsidR="00152B71">
        <w:rPr>
          <w:szCs w:val="22"/>
        </w:rPr>
        <w:t>2</w:t>
      </w:r>
      <w:r>
        <w:rPr>
          <w:szCs w:val="22"/>
        </w:rPr>
        <w:tab/>
      </w:r>
      <w:r w:rsidR="00414C88">
        <w:rPr>
          <w:szCs w:val="22"/>
        </w:rPr>
        <w:t>R</w:t>
      </w:r>
      <w:r w:rsidR="00414C88" w:rsidRPr="0067601B">
        <w:rPr>
          <w:szCs w:val="22"/>
        </w:rPr>
        <w:t xml:space="preserve">isk ratings </w:t>
      </w:r>
      <w:r w:rsidR="00414C88">
        <w:rPr>
          <w:szCs w:val="22"/>
        </w:rPr>
        <w:t>are inherent</w:t>
      </w:r>
      <w:r w:rsidR="00414C88" w:rsidRPr="0067601B">
        <w:rPr>
          <w:szCs w:val="22"/>
        </w:rPr>
        <w:t xml:space="preserve"> </w:t>
      </w:r>
      <w:r w:rsidR="00414C88">
        <w:rPr>
          <w:szCs w:val="22"/>
        </w:rPr>
        <w:t>to each system</w:t>
      </w:r>
      <w:r w:rsidR="00152B71">
        <w:rPr>
          <w:szCs w:val="22"/>
        </w:rPr>
        <w:t xml:space="preserve"> </w:t>
      </w:r>
      <w:r w:rsidR="00414C88">
        <w:rPr>
          <w:szCs w:val="22"/>
        </w:rPr>
        <w:t xml:space="preserve">audited </w:t>
      </w:r>
      <w:r w:rsidR="00414C88" w:rsidRPr="0067601B">
        <w:rPr>
          <w:szCs w:val="22"/>
        </w:rPr>
        <w:t xml:space="preserve">and </w:t>
      </w:r>
      <w:r w:rsidR="00414C88">
        <w:rPr>
          <w:szCs w:val="22"/>
        </w:rPr>
        <w:t xml:space="preserve">they </w:t>
      </w:r>
      <w:r w:rsidR="00414C88" w:rsidRPr="0067601B">
        <w:rPr>
          <w:szCs w:val="22"/>
        </w:rPr>
        <w:t>reflect the impact that t</w:t>
      </w:r>
      <w:r w:rsidR="00414C88">
        <w:rPr>
          <w:szCs w:val="22"/>
        </w:rPr>
        <w:t>hey</w:t>
      </w:r>
      <w:r w:rsidR="00414C88" w:rsidRPr="0067601B">
        <w:rPr>
          <w:szCs w:val="22"/>
        </w:rPr>
        <w:t xml:space="preserve"> would have on the </w:t>
      </w:r>
      <w:r w:rsidR="00414C88">
        <w:rPr>
          <w:szCs w:val="22"/>
        </w:rPr>
        <w:t>Council</w:t>
      </w:r>
      <w:r w:rsidR="00414C88" w:rsidRPr="0067601B">
        <w:rPr>
          <w:szCs w:val="22"/>
        </w:rPr>
        <w:t xml:space="preserve"> if t</w:t>
      </w:r>
      <w:r w:rsidR="00414C88">
        <w:rPr>
          <w:szCs w:val="22"/>
        </w:rPr>
        <w:t>hey</w:t>
      </w:r>
      <w:r w:rsidR="00414C88" w:rsidRPr="0067601B">
        <w:rPr>
          <w:szCs w:val="22"/>
        </w:rPr>
        <w:t xml:space="preserve"> w</w:t>
      </w:r>
      <w:r w:rsidR="00414C88">
        <w:rPr>
          <w:szCs w:val="22"/>
        </w:rPr>
        <w:t>ere</w:t>
      </w:r>
      <w:r w:rsidR="00414C88" w:rsidRPr="0067601B">
        <w:rPr>
          <w:szCs w:val="22"/>
        </w:rPr>
        <w:t xml:space="preserve"> to fail.  </w:t>
      </w:r>
    </w:p>
    <w:p w:rsidR="00414C88" w:rsidRDefault="00414C88" w:rsidP="00414C88">
      <w:pPr>
        <w:autoSpaceDE w:val="0"/>
        <w:autoSpaceDN w:val="0"/>
        <w:adjustRightInd w:val="0"/>
        <w:rPr>
          <w:szCs w:val="22"/>
        </w:rPr>
      </w:pPr>
    </w:p>
    <w:p w:rsidR="00414C88" w:rsidRDefault="001518A7" w:rsidP="00152B71">
      <w:pPr>
        <w:autoSpaceDE w:val="0"/>
        <w:autoSpaceDN w:val="0"/>
        <w:adjustRightInd w:val="0"/>
        <w:ind w:left="720" w:hanging="720"/>
        <w:rPr>
          <w:szCs w:val="22"/>
        </w:rPr>
      </w:pPr>
      <w:r>
        <w:rPr>
          <w:szCs w:val="22"/>
        </w:rPr>
        <w:t>6.</w:t>
      </w:r>
      <w:r w:rsidR="00152B71">
        <w:rPr>
          <w:szCs w:val="22"/>
        </w:rPr>
        <w:t>3</w:t>
      </w:r>
      <w:r>
        <w:rPr>
          <w:szCs w:val="22"/>
        </w:rPr>
        <w:tab/>
      </w:r>
      <w:r w:rsidR="00414C88">
        <w:rPr>
          <w:szCs w:val="22"/>
        </w:rPr>
        <w:t>Control ratings are awarded after the audit is</w:t>
      </w:r>
      <w:r w:rsidR="00152B71">
        <w:rPr>
          <w:szCs w:val="22"/>
        </w:rPr>
        <w:t xml:space="preserve"> </w:t>
      </w:r>
      <w:r w:rsidR="00414C88">
        <w:rPr>
          <w:szCs w:val="22"/>
        </w:rPr>
        <w:t xml:space="preserve">completed to reflect the level of internal control that is present in each system audited. </w:t>
      </w:r>
    </w:p>
    <w:p w:rsidR="00414C88" w:rsidRDefault="00414C88" w:rsidP="00414C88">
      <w:pPr>
        <w:rPr>
          <w:szCs w:val="22"/>
        </w:rPr>
      </w:pPr>
    </w:p>
    <w:p w:rsidR="00414C88" w:rsidRDefault="00152B71" w:rsidP="0008107F">
      <w:pPr>
        <w:ind w:left="720" w:hanging="720"/>
        <w:rPr>
          <w:szCs w:val="22"/>
        </w:rPr>
      </w:pPr>
      <w:r>
        <w:rPr>
          <w:szCs w:val="22"/>
        </w:rPr>
        <w:t>6.4</w:t>
      </w:r>
      <w:r w:rsidR="001518A7">
        <w:rPr>
          <w:szCs w:val="22"/>
        </w:rPr>
        <w:tab/>
      </w:r>
      <w:r w:rsidR="00414C88" w:rsidRPr="000A5A93">
        <w:rPr>
          <w:szCs w:val="22"/>
        </w:rPr>
        <w:t>During 2017/18 a total of 1</w:t>
      </w:r>
      <w:r w:rsidR="006F021C" w:rsidRPr="000A5A93">
        <w:rPr>
          <w:szCs w:val="22"/>
        </w:rPr>
        <w:t>1</w:t>
      </w:r>
      <w:r w:rsidR="00414C88" w:rsidRPr="000A5A93">
        <w:rPr>
          <w:szCs w:val="22"/>
        </w:rPr>
        <w:t xml:space="preserve"> systems were reviewed, </w:t>
      </w:r>
      <w:r w:rsidR="006F021C" w:rsidRPr="000A5A93">
        <w:rPr>
          <w:szCs w:val="22"/>
        </w:rPr>
        <w:t>8</w:t>
      </w:r>
      <w:r w:rsidR="00414C88" w:rsidRPr="000A5A93">
        <w:rPr>
          <w:szCs w:val="22"/>
        </w:rPr>
        <w:t xml:space="preserve"> of which were </w:t>
      </w:r>
      <w:r>
        <w:rPr>
          <w:szCs w:val="22"/>
        </w:rPr>
        <w:t xml:space="preserve">deemed to be </w:t>
      </w:r>
      <w:r w:rsidR="00414C88" w:rsidRPr="000A5A93">
        <w:rPr>
          <w:szCs w:val="22"/>
        </w:rPr>
        <w:t xml:space="preserve">critical and </w:t>
      </w:r>
      <w:r w:rsidR="006F021C" w:rsidRPr="000A5A93">
        <w:rPr>
          <w:szCs w:val="22"/>
        </w:rPr>
        <w:t>3</w:t>
      </w:r>
      <w:r w:rsidR="00414C88" w:rsidRPr="000A5A93">
        <w:rPr>
          <w:szCs w:val="22"/>
        </w:rPr>
        <w:t xml:space="preserve"> of</w:t>
      </w:r>
      <w:r>
        <w:rPr>
          <w:szCs w:val="22"/>
        </w:rPr>
        <w:t xml:space="preserve"> </w:t>
      </w:r>
      <w:r w:rsidR="00414C88" w:rsidRPr="000A5A93">
        <w:rPr>
          <w:szCs w:val="22"/>
        </w:rPr>
        <w:t>which were major systems. The chart below shows the controls assurance ratings that were awarded for the individual audits undertaken during the year.</w:t>
      </w:r>
    </w:p>
    <w:p w:rsidR="003C09F2" w:rsidRDefault="003C09F2" w:rsidP="00414C88">
      <w:pPr>
        <w:rPr>
          <w:noProof/>
        </w:rPr>
      </w:pPr>
      <w:r>
        <w:rPr>
          <w:noProof/>
        </w:rPr>
        <w:drawing>
          <wp:inline distT="0" distB="0" distL="0" distR="0" wp14:anchorId="16774C11" wp14:editId="240A2897">
            <wp:extent cx="6120130" cy="4106545"/>
            <wp:effectExtent l="0" t="0" r="1397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09F2" w:rsidRDefault="003C09F2" w:rsidP="00414C88">
      <w:pPr>
        <w:rPr>
          <w:noProof/>
        </w:rPr>
      </w:pPr>
    </w:p>
    <w:p w:rsidR="003C09F2" w:rsidRDefault="003C09F2" w:rsidP="00414C88">
      <w:pPr>
        <w:rPr>
          <w:noProof/>
        </w:rPr>
      </w:pPr>
    </w:p>
    <w:p w:rsidR="00414C88" w:rsidRDefault="0008107F" w:rsidP="00414C88">
      <w:pPr>
        <w:rPr>
          <w:szCs w:val="22"/>
        </w:rPr>
      </w:pPr>
      <w:r>
        <w:rPr>
          <w:szCs w:val="22"/>
        </w:rPr>
        <w:t>6.5</w:t>
      </w:r>
      <w:r w:rsidR="001518A7">
        <w:rPr>
          <w:szCs w:val="22"/>
        </w:rPr>
        <w:tab/>
      </w:r>
      <w:r w:rsidR="00414C88" w:rsidRPr="000A5A93">
        <w:rPr>
          <w:szCs w:val="22"/>
        </w:rPr>
        <w:t xml:space="preserve">Members will </w:t>
      </w:r>
      <w:r>
        <w:rPr>
          <w:szCs w:val="22"/>
        </w:rPr>
        <w:t xml:space="preserve">note </w:t>
      </w:r>
      <w:r w:rsidR="00414C88" w:rsidRPr="000A5A93">
        <w:rPr>
          <w:szCs w:val="22"/>
        </w:rPr>
        <w:t xml:space="preserve">that all were awarded an amber </w:t>
      </w:r>
      <w:r w:rsidR="000A5A93" w:rsidRPr="000A5A93">
        <w:rPr>
          <w:szCs w:val="22"/>
        </w:rPr>
        <w:t xml:space="preserve">controls assurance rating, with 2 </w:t>
      </w:r>
      <w:r w:rsidR="001518A7">
        <w:rPr>
          <w:szCs w:val="22"/>
        </w:rPr>
        <w:tab/>
      </w:r>
      <w:r w:rsidR="000A5A93" w:rsidRPr="000A5A93">
        <w:rPr>
          <w:szCs w:val="22"/>
        </w:rPr>
        <w:t xml:space="preserve">critical systems receiving full assurance. </w:t>
      </w:r>
      <w:r w:rsidR="00414C88" w:rsidRPr="000A5A93">
        <w:rPr>
          <w:szCs w:val="22"/>
        </w:rPr>
        <w:t xml:space="preserve"> Members are also reminded that the control </w:t>
      </w:r>
      <w:r w:rsidR="001518A7">
        <w:rPr>
          <w:szCs w:val="22"/>
        </w:rPr>
        <w:tab/>
      </w:r>
      <w:r w:rsidR="00414C88" w:rsidRPr="000A5A93">
        <w:rPr>
          <w:szCs w:val="22"/>
        </w:rPr>
        <w:t xml:space="preserve">ratings shown relate to the point in time when the respective audit reports were issued </w:t>
      </w:r>
      <w:r w:rsidR="001518A7">
        <w:rPr>
          <w:szCs w:val="22"/>
        </w:rPr>
        <w:tab/>
      </w:r>
      <w:r w:rsidR="00414C88" w:rsidRPr="000A5A93">
        <w:rPr>
          <w:szCs w:val="22"/>
        </w:rPr>
        <w:t xml:space="preserve">during course of the year. They therefore represent a historical rather than a current </w:t>
      </w:r>
      <w:r w:rsidR="001518A7">
        <w:rPr>
          <w:szCs w:val="22"/>
        </w:rPr>
        <w:tab/>
      </w:r>
      <w:r w:rsidR="00414C88" w:rsidRPr="000A5A93">
        <w:rPr>
          <w:szCs w:val="22"/>
        </w:rPr>
        <w:t xml:space="preserve">judgement as </w:t>
      </w:r>
      <w:r w:rsidR="00414C88" w:rsidRPr="00865AC0">
        <w:rPr>
          <w:szCs w:val="22"/>
        </w:rPr>
        <w:t xml:space="preserve">managers have been charged with implementing corrective actions to </w:t>
      </w:r>
      <w:r w:rsidR="001518A7" w:rsidRPr="00865AC0">
        <w:rPr>
          <w:szCs w:val="22"/>
        </w:rPr>
        <w:tab/>
      </w:r>
      <w:r w:rsidR="00414C88" w:rsidRPr="00865AC0">
        <w:rPr>
          <w:szCs w:val="22"/>
        </w:rPr>
        <w:t xml:space="preserve">address the control issues raised, which in turn has been supported by a programme of </w:t>
      </w:r>
      <w:r w:rsidR="001518A7" w:rsidRPr="00865AC0">
        <w:rPr>
          <w:szCs w:val="22"/>
        </w:rPr>
        <w:tab/>
      </w:r>
      <w:r w:rsidR="00414C88" w:rsidRPr="00865AC0">
        <w:rPr>
          <w:szCs w:val="22"/>
        </w:rPr>
        <w:t>follow-up reviews by the Internal Audit Service.</w:t>
      </w:r>
    </w:p>
    <w:p w:rsidR="00595BC7" w:rsidRDefault="00595BC7" w:rsidP="00414C88">
      <w:pPr>
        <w:rPr>
          <w:szCs w:val="22"/>
        </w:rPr>
      </w:pPr>
    </w:p>
    <w:p w:rsidR="00595BC7" w:rsidRPr="00A6792B" w:rsidRDefault="00595BC7" w:rsidP="00414C88">
      <w:pPr>
        <w:rPr>
          <w:szCs w:val="22"/>
        </w:rPr>
      </w:pPr>
      <w:r>
        <w:rPr>
          <w:szCs w:val="22"/>
        </w:rPr>
        <w:t>6.6</w:t>
      </w:r>
      <w:r>
        <w:rPr>
          <w:szCs w:val="22"/>
        </w:rPr>
        <w:tab/>
      </w:r>
      <w:r w:rsidRPr="00A6792B">
        <w:rPr>
          <w:szCs w:val="22"/>
        </w:rPr>
        <w:t xml:space="preserve">As a result of the recent management restructure, we are currently re-assigning </w:t>
      </w:r>
      <w:r w:rsidRPr="00A6792B">
        <w:rPr>
          <w:szCs w:val="22"/>
        </w:rPr>
        <w:tab/>
        <w:t>management actions to new Directors and we will provide an update on this in</w:t>
      </w:r>
      <w:r w:rsidR="00A6792B" w:rsidRPr="00A6792B">
        <w:rPr>
          <w:szCs w:val="22"/>
        </w:rPr>
        <w:t xml:space="preserve"> </w:t>
      </w:r>
      <w:r w:rsidRPr="00A6792B">
        <w:rPr>
          <w:szCs w:val="22"/>
        </w:rPr>
        <w:t xml:space="preserve">the first </w:t>
      </w:r>
      <w:r w:rsidR="00A6792B" w:rsidRPr="00A6792B">
        <w:rPr>
          <w:szCs w:val="22"/>
        </w:rPr>
        <w:tab/>
      </w:r>
      <w:r w:rsidRPr="00A6792B">
        <w:rPr>
          <w:szCs w:val="22"/>
        </w:rPr>
        <w:t>report of 2018/19.</w:t>
      </w:r>
    </w:p>
    <w:p w:rsidR="0008107F" w:rsidRPr="00A6792B" w:rsidRDefault="0008107F" w:rsidP="00414C88">
      <w:pPr>
        <w:rPr>
          <w:szCs w:val="22"/>
        </w:rPr>
      </w:pPr>
    </w:p>
    <w:p w:rsidR="0008107F" w:rsidRPr="00865AC0" w:rsidRDefault="00595BC7" w:rsidP="00865AC0">
      <w:pPr>
        <w:ind w:left="720" w:hanging="720"/>
        <w:rPr>
          <w:rFonts w:cs="Arial"/>
        </w:rPr>
      </w:pPr>
      <w:r>
        <w:rPr>
          <w:szCs w:val="22"/>
        </w:rPr>
        <w:t>6.7</w:t>
      </w:r>
      <w:r w:rsidR="0008107F" w:rsidRPr="00865AC0">
        <w:rPr>
          <w:szCs w:val="22"/>
        </w:rPr>
        <w:tab/>
        <w:t xml:space="preserve">In arriving at an opinion on the effectiveness of the system of control it is important to take account of all </w:t>
      </w:r>
      <w:r w:rsidR="0008107F" w:rsidRPr="00865AC0">
        <w:t>independent sources of assurance obtained by the Council</w:t>
      </w:r>
      <w:r w:rsidR="00865AC0" w:rsidRPr="00865AC0">
        <w:t xml:space="preserve">. </w:t>
      </w:r>
      <w:r w:rsidR="0008107F" w:rsidRPr="00865AC0">
        <w:t>Directors have</w:t>
      </w:r>
      <w:r w:rsidR="00865AC0" w:rsidRPr="00865AC0">
        <w:t xml:space="preserve"> provided </w:t>
      </w:r>
      <w:r w:rsidR="0008107F" w:rsidRPr="00865AC0">
        <w:t xml:space="preserve">examples of </w:t>
      </w:r>
      <w:r w:rsidR="00865AC0" w:rsidRPr="00865AC0">
        <w:t xml:space="preserve">a range of </w:t>
      </w:r>
      <w:r w:rsidR="0008107F" w:rsidRPr="00865AC0">
        <w:t>these which include: the Customer</w:t>
      </w:r>
      <w:r w:rsidR="00865AC0" w:rsidRPr="00865AC0">
        <w:t xml:space="preserve"> </w:t>
      </w:r>
      <w:r w:rsidR="0008107F" w:rsidRPr="00865AC0">
        <w:t>Service Excellence Assessment; ISO 9002; Government Connect; Penetration testing; I</w:t>
      </w:r>
      <w:r w:rsidR="0008107F" w:rsidRPr="00865AC0">
        <w:rPr>
          <w:rFonts w:cs="Arial"/>
        </w:rPr>
        <w:t>nvestors in People Gold Standard; Green Flag awards; Peer review of Democratic</w:t>
      </w:r>
      <w:r w:rsidR="00865AC0" w:rsidRPr="00865AC0">
        <w:rPr>
          <w:rFonts w:cs="Arial"/>
        </w:rPr>
        <w:t xml:space="preserve"> </w:t>
      </w:r>
      <w:r w:rsidR="0008107F" w:rsidRPr="00865AC0">
        <w:rPr>
          <w:rFonts w:cs="Arial"/>
        </w:rPr>
        <w:t>Services</w:t>
      </w:r>
      <w:r w:rsidR="00865AC0" w:rsidRPr="00865AC0">
        <w:rPr>
          <w:rFonts w:cs="Arial"/>
        </w:rPr>
        <w:t xml:space="preserve"> and the </w:t>
      </w:r>
      <w:r w:rsidR="0008107F" w:rsidRPr="00865AC0">
        <w:rPr>
          <w:rFonts w:cs="Arial"/>
        </w:rPr>
        <w:t>Food Standards Agency audit.</w:t>
      </w:r>
    </w:p>
    <w:p w:rsidR="0008107F" w:rsidRPr="00865AC0" w:rsidRDefault="0008107F" w:rsidP="00414C88">
      <w:pPr>
        <w:autoSpaceDE w:val="0"/>
        <w:autoSpaceDN w:val="0"/>
        <w:adjustRightInd w:val="0"/>
        <w:rPr>
          <w:rFonts w:cs="Arial"/>
          <w:bCs/>
          <w:szCs w:val="22"/>
        </w:rPr>
      </w:pPr>
    </w:p>
    <w:p w:rsidR="00414C88" w:rsidRPr="001518A7" w:rsidRDefault="00414C88" w:rsidP="001518A7">
      <w:pPr>
        <w:pStyle w:val="ListParagraph"/>
        <w:numPr>
          <w:ilvl w:val="0"/>
          <w:numId w:val="24"/>
        </w:numPr>
        <w:ind w:left="709" w:hanging="709"/>
        <w:jc w:val="both"/>
        <w:rPr>
          <w:rFonts w:ascii="Arial" w:hAnsi="Arial" w:cs="Arial"/>
          <w:b/>
        </w:rPr>
      </w:pPr>
      <w:r w:rsidRPr="001518A7">
        <w:rPr>
          <w:rFonts w:ascii="Arial" w:hAnsi="Arial" w:cs="Arial"/>
          <w:b/>
        </w:rPr>
        <w:t>K</w:t>
      </w:r>
      <w:r w:rsidR="001518A7">
        <w:rPr>
          <w:rFonts w:ascii="Arial" w:hAnsi="Arial" w:cs="Arial"/>
          <w:b/>
        </w:rPr>
        <w:t xml:space="preserve">EY PERFORMANCE INDICATORS </w:t>
      </w:r>
      <w:r w:rsidRPr="001518A7">
        <w:rPr>
          <w:rFonts w:ascii="Arial" w:hAnsi="Arial" w:cs="Arial"/>
          <w:b/>
        </w:rPr>
        <w:t xml:space="preserve">(KPIs) </w:t>
      </w:r>
    </w:p>
    <w:p w:rsidR="00414C88" w:rsidRPr="0008107F" w:rsidRDefault="001518A7" w:rsidP="0008107F">
      <w:pPr>
        <w:ind w:left="709" w:hanging="709"/>
      </w:pPr>
      <w:r>
        <w:rPr>
          <w:szCs w:val="22"/>
        </w:rPr>
        <w:t>7.1</w:t>
      </w:r>
      <w:r>
        <w:rPr>
          <w:szCs w:val="22"/>
        </w:rPr>
        <w:tab/>
      </w:r>
      <w:r w:rsidR="00414C88" w:rsidRPr="00E951F5">
        <w:rPr>
          <w:szCs w:val="22"/>
        </w:rPr>
        <w:t xml:space="preserve">The table at </w:t>
      </w:r>
      <w:r w:rsidR="00414C88" w:rsidRPr="00E951F5">
        <w:rPr>
          <w:b/>
          <w:szCs w:val="22"/>
        </w:rPr>
        <w:t xml:space="preserve">Appendix </w:t>
      </w:r>
      <w:r w:rsidR="00414C88">
        <w:rPr>
          <w:b/>
          <w:szCs w:val="22"/>
        </w:rPr>
        <w:t>2</w:t>
      </w:r>
      <w:r w:rsidR="00414C88" w:rsidRPr="00E951F5">
        <w:rPr>
          <w:szCs w:val="22"/>
        </w:rPr>
        <w:t xml:space="preserve"> summarises the key performance data for the Internal Audit </w:t>
      </w:r>
      <w:r>
        <w:rPr>
          <w:szCs w:val="22"/>
        </w:rPr>
        <w:tab/>
      </w:r>
      <w:r w:rsidR="00414C88" w:rsidRPr="00E951F5">
        <w:rPr>
          <w:szCs w:val="22"/>
        </w:rPr>
        <w:t>Service during 201</w:t>
      </w:r>
      <w:r w:rsidR="00606A6A">
        <w:rPr>
          <w:szCs w:val="22"/>
        </w:rPr>
        <w:t>7</w:t>
      </w:r>
      <w:r w:rsidR="00414C88" w:rsidRPr="00E951F5">
        <w:rPr>
          <w:szCs w:val="22"/>
        </w:rPr>
        <w:t>/1</w:t>
      </w:r>
      <w:r w:rsidR="00606A6A">
        <w:rPr>
          <w:szCs w:val="22"/>
        </w:rPr>
        <w:t>8</w:t>
      </w:r>
      <w:r w:rsidR="00414C88">
        <w:rPr>
          <w:szCs w:val="22"/>
        </w:rPr>
        <w:t xml:space="preserve"> and demonstrates </w:t>
      </w:r>
      <w:r w:rsidR="00414C88" w:rsidRPr="00E951F5">
        <w:rPr>
          <w:szCs w:val="22"/>
        </w:rPr>
        <w:t xml:space="preserve">that </w:t>
      </w:r>
      <w:r w:rsidR="00414C88" w:rsidRPr="0008107F">
        <w:rPr>
          <w:szCs w:val="22"/>
        </w:rPr>
        <w:t xml:space="preserve">the majority of performance indicators have </w:t>
      </w:r>
      <w:r w:rsidRPr="0008107F">
        <w:rPr>
          <w:szCs w:val="22"/>
        </w:rPr>
        <w:tab/>
      </w:r>
      <w:r w:rsidR="00414C88" w:rsidRPr="0008107F">
        <w:rPr>
          <w:szCs w:val="22"/>
        </w:rPr>
        <w:t>either been achieved or exceeded</w:t>
      </w:r>
      <w:r w:rsidR="00606A6A" w:rsidRPr="0008107F">
        <w:rPr>
          <w:szCs w:val="22"/>
        </w:rPr>
        <w:t xml:space="preserve">. </w:t>
      </w:r>
      <w:r w:rsidR="0008107F" w:rsidRPr="0008107F">
        <w:rPr>
          <w:szCs w:val="22"/>
        </w:rPr>
        <w:t>The only exception being the “</w:t>
      </w:r>
      <w:r w:rsidR="00414C88" w:rsidRPr="0008107F">
        <w:t>Audit Plan Completed</w:t>
      </w:r>
      <w:r w:rsidR="0008107F" w:rsidRPr="0008107F">
        <w:t>” indicator for SRBC for th</w:t>
      </w:r>
      <w:r w:rsidR="00606A6A" w:rsidRPr="0008107F">
        <w:rPr>
          <w:szCs w:val="22"/>
        </w:rPr>
        <w:t>e reasons given</w:t>
      </w:r>
      <w:r w:rsidR="0008107F" w:rsidRPr="0008107F">
        <w:rPr>
          <w:szCs w:val="22"/>
        </w:rPr>
        <w:t xml:space="preserve"> in 5.3 (a</w:t>
      </w:r>
      <w:r w:rsidR="00606A6A" w:rsidRPr="0008107F">
        <w:rPr>
          <w:szCs w:val="22"/>
        </w:rPr>
        <w:t>bove</w:t>
      </w:r>
      <w:r w:rsidR="0008107F" w:rsidRPr="0008107F">
        <w:rPr>
          <w:szCs w:val="22"/>
        </w:rPr>
        <w:t>)</w:t>
      </w:r>
      <w:r w:rsidR="00606A6A" w:rsidRPr="0008107F">
        <w:rPr>
          <w:szCs w:val="22"/>
        </w:rPr>
        <w:t xml:space="preserve">. </w:t>
      </w:r>
      <w:r w:rsidR="00414C88" w:rsidRPr="0008107F">
        <w:t xml:space="preserve"> </w:t>
      </w:r>
    </w:p>
    <w:p w:rsidR="004C257A" w:rsidRPr="0008107F" w:rsidRDefault="004C257A" w:rsidP="00414C88"/>
    <w:p w:rsidR="001518A7" w:rsidRDefault="001518A7" w:rsidP="00414C88">
      <w:pPr>
        <w:jc w:val="both"/>
        <w:rPr>
          <w:szCs w:val="22"/>
          <w:lang w:eastAsia="en-US"/>
        </w:rPr>
      </w:pPr>
    </w:p>
    <w:p w:rsidR="00865AC0" w:rsidRDefault="00865AC0" w:rsidP="00414C88">
      <w:pPr>
        <w:jc w:val="both"/>
        <w:rPr>
          <w:szCs w:val="22"/>
          <w:lang w:eastAsia="en-US"/>
        </w:rPr>
      </w:pPr>
    </w:p>
    <w:p w:rsidR="00865AC0" w:rsidRDefault="00865AC0" w:rsidP="00414C88">
      <w:pPr>
        <w:jc w:val="both"/>
        <w:rPr>
          <w:szCs w:val="22"/>
          <w:lang w:eastAsia="en-US"/>
        </w:rPr>
      </w:pPr>
    </w:p>
    <w:p w:rsidR="00865AC0" w:rsidRDefault="00865AC0" w:rsidP="00414C88">
      <w:pPr>
        <w:jc w:val="both"/>
        <w:rPr>
          <w:szCs w:val="22"/>
          <w:lang w:eastAsia="en-US"/>
        </w:rPr>
      </w:pPr>
    </w:p>
    <w:p w:rsidR="00865AC0" w:rsidRDefault="00865AC0" w:rsidP="00414C88">
      <w:pPr>
        <w:jc w:val="both"/>
        <w:rPr>
          <w:szCs w:val="22"/>
          <w:lang w:eastAsia="en-US"/>
        </w:rPr>
      </w:pPr>
    </w:p>
    <w:p w:rsidR="000A5A93" w:rsidRDefault="000A5A93" w:rsidP="00414C88">
      <w:pPr>
        <w:rPr>
          <w:b/>
          <w:szCs w:val="22"/>
          <w:lang w:eastAsia="en-US"/>
        </w:rPr>
      </w:pPr>
    </w:p>
    <w:p w:rsidR="0089017D" w:rsidRPr="00C24998" w:rsidRDefault="0089017D" w:rsidP="00C24998">
      <w:pPr>
        <w:pStyle w:val="ListParagraph"/>
        <w:numPr>
          <w:ilvl w:val="0"/>
          <w:numId w:val="24"/>
        </w:numPr>
        <w:ind w:left="709" w:hanging="709"/>
        <w:rPr>
          <w:rFonts w:ascii="Arial" w:hAnsi="Arial" w:cs="Arial"/>
        </w:rPr>
      </w:pPr>
      <w:r w:rsidRPr="00C24998">
        <w:rPr>
          <w:rFonts w:ascii="Arial" w:hAnsi="Arial" w:cs="Arial"/>
          <w:b/>
        </w:rPr>
        <w:t>Q</w:t>
      </w:r>
      <w:r w:rsidR="001518A7" w:rsidRPr="00C24998">
        <w:rPr>
          <w:rFonts w:ascii="Arial" w:hAnsi="Arial" w:cs="Arial"/>
          <w:b/>
        </w:rPr>
        <w:t>UAL</w:t>
      </w:r>
      <w:r w:rsidR="00BD6A9F" w:rsidRPr="00C24998">
        <w:rPr>
          <w:rFonts w:ascii="Arial" w:hAnsi="Arial" w:cs="Arial"/>
          <w:b/>
        </w:rPr>
        <w:t>IT</w:t>
      </w:r>
      <w:r w:rsidR="001518A7" w:rsidRPr="00C24998">
        <w:rPr>
          <w:rFonts w:ascii="Arial" w:hAnsi="Arial" w:cs="Arial"/>
          <w:b/>
        </w:rPr>
        <w:t>Y ASSURANCE &amp; IMPROVEMENT PROGRAMME</w:t>
      </w:r>
      <w:r w:rsidR="00865AC0">
        <w:rPr>
          <w:rFonts w:ascii="Arial" w:hAnsi="Arial" w:cs="Arial"/>
          <w:b/>
        </w:rPr>
        <w:t xml:space="preserve"> (PEER REVIEW)</w:t>
      </w:r>
    </w:p>
    <w:p w:rsidR="00414C88" w:rsidRDefault="00865AC0" w:rsidP="00414C88">
      <w:pPr>
        <w:ind w:left="-11"/>
        <w:rPr>
          <w:szCs w:val="22"/>
        </w:rPr>
      </w:pPr>
      <w:r>
        <w:rPr>
          <w:szCs w:val="22"/>
        </w:rPr>
        <w:t>8</w:t>
      </w:r>
      <w:r w:rsidR="001518A7">
        <w:rPr>
          <w:szCs w:val="22"/>
        </w:rPr>
        <w:t>.1</w:t>
      </w:r>
      <w:r w:rsidR="001518A7">
        <w:rPr>
          <w:szCs w:val="22"/>
        </w:rPr>
        <w:tab/>
      </w:r>
      <w:r w:rsidR="00414C88" w:rsidRPr="003F7C26">
        <w:rPr>
          <w:szCs w:val="22"/>
        </w:rPr>
        <w:t>The Accounts and Audit Regulations 201</w:t>
      </w:r>
      <w:r w:rsidR="00414C88">
        <w:rPr>
          <w:szCs w:val="22"/>
        </w:rPr>
        <w:t>5</w:t>
      </w:r>
      <w:r w:rsidR="00414C88" w:rsidRPr="003F7C26">
        <w:rPr>
          <w:szCs w:val="22"/>
        </w:rPr>
        <w:t xml:space="preserve"> require the Council to “</w:t>
      </w:r>
      <w:r w:rsidR="00414C88">
        <w:rPr>
          <w:szCs w:val="22"/>
        </w:rPr>
        <w:t xml:space="preserve">undertake an effective </w:t>
      </w:r>
      <w:r w:rsidR="001518A7">
        <w:rPr>
          <w:szCs w:val="22"/>
        </w:rPr>
        <w:tab/>
      </w:r>
      <w:r w:rsidR="001518A7">
        <w:rPr>
          <w:szCs w:val="22"/>
        </w:rPr>
        <w:tab/>
      </w:r>
      <w:r w:rsidR="001518A7">
        <w:rPr>
          <w:szCs w:val="22"/>
        </w:rPr>
        <w:tab/>
      </w:r>
      <w:r w:rsidR="00414C88">
        <w:rPr>
          <w:szCs w:val="22"/>
        </w:rPr>
        <w:t xml:space="preserve">internal audit to evaluate the effectiveness of its risk management, control and governance </w:t>
      </w:r>
      <w:r w:rsidR="001518A7">
        <w:rPr>
          <w:szCs w:val="22"/>
        </w:rPr>
        <w:tab/>
      </w:r>
      <w:r w:rsidR="001518A7">
        <w:rPr>
          <w:szCs w:val="22"/>
        </w:rPr>
        <w:tab/>
      </w:r>
      <w:r w:rsidR="00414C88">
        <w:rPr>
          <w:szCs w:val="22"/>
        </w:rPr>
        <w:t>processes taking into account Public Sector Internal Audit Standards (PSIAS) or guidance”.</w:t>
      </w:r>
    </w:p>
    <w:p w:rsidR="00414C88" w:rsidRDefault="00414C88" w:rsidP="00414C88">
      <w:pPr>
        <w:ind w:left="-11"/>
        <w:rPr>
          <w:szCs w:val="22"/>
        </w:rPr>
      </w:pPr>
    </w:p>
    <w:p w:rsidR="0089017D" w:rsidRDefault="00865AC0" w:rsidP="00865AC0">
      <w:pPr>
        <w:ind w:left="720" w:hanging="720"/>
        <w:rPr>
          <w:szCs w:val="22"/>
        </w:rPr>
      </w:pPr>
      <w:r>
        <w:rPr>
          <w:szCs w:val="22"/>
        </w:rPr>
        <w:t>8</w:t>
      </w:r>
      <w:r w:rsidR="001518A7">
        <w:rPr>
          <w:szCs w:val="22"/>
        </w:rPr>
        <w:t>.2</w:t>
      </w:r>
      <w:r w:rsidR="001518A7">
        <w:rPr>
          <w:szCs w:val="22"/>
        </w:rPr>
        <w:tab/>
      </w:r>
      <w:r w:rsidR="00414C88" w:rsidRPr="0089017D">
        <w:rPr>
          <w:szCs w:val="22"/>
        </w:rPr>
        <w:t xml:space="preserve">Members will recall that </w:t>
      </w:r>
      <w:r w:rsidR="00C24734" w:rsidRPr="0089017D">
        <w:rPr>
          <w:szCs w:val="22"/>
        </w:rPr>
        <w:t xml:space="preserve">the </w:t>
      </w:r>
      <w:r w:rsidR="004C257A">
        <w:rPr>
          <w:szCs w:val="22"/>
        </w:rPr>
        <w:t xml:space="preserve">Internal Audit </w:t>
      </w:r>
      <w:r w:rsidR="00C24734" w:rsidRPr="0089017D">
        <w:rPr>
          <w:szCs w:val="22"/>
        </w:rPr>
        <w:t xml:space="preserve">Service has to </w:t>
      </w:r>
      <w:r>
        <w:rPr>
          <w:szCs w:val="22"/>
        </w:rPr>
        <w:t xml:space="preserve">provide </w:t>
      </w:r>
      <w:r w:rsidR="0089017D" w:rsidRPr="0089017D">
        <w:rPr>
          <w:szCs w:val="22"/>
        </w:rPr>
        <w:t>confirm</w:t>
      </w:r>
      <w:r>
        <w:rPr>
          <w:szCs w:val="22"/>
        </w:rPr>
        <w:t xml:space="preserve">ation to </w:t>
      </w:r>
      <w:r w:rsidR="00C24734" w:rsidRPr="0089017D">
        <w:rPr>
          <w:szCs w:val="22"/>
        </w:rPr>
        <w:t>the</w:t>
      </w:r>
      <w:r>
        <w:rPr>
          <w:szCs w:val="22"/>
        </w:rPr>
        <w:t xml:space="preserve"> Governance </w:t>
      </w:r>
      <w:r w:rsidR="00C24734" w:rsidRPr="0089017D">
        <w:rPr>
          <w:szCs w:val="22"/>
        </w:rPr>
        <w:t xml:space="preserve">Committee </w:t>
      </w:r>
      <w:r>
        <w:rPr>
          <w:szCs w:val="22"/>
        </w:rPr>
        <w:t>on an annual basis that the</w:t>
      </w:r>
      <w:r w:rsidR="0089017D" w:rsidRPr="0089017D">
        <w:rPr>
          <w:szCs w:val="22"/>
        </w:rPr>
        <w:t xml:space="preserve"> requirements of the Public Sector Internal Audit Standards (PSIAS)</w:t>
      </w:r>
      <w:r>
        <w:rPr>
          <w:szCs w:val="22"/>
        </w:rPr>
        <w:t xml:space="preserve"> are being complied with</w:t>
      </w:r>
      <w:r w:rsidR="0089017D" w:rsidRPr="0089017D">
        <w:rPr>
          <w:szCs w:val="22"/>
        </w:rPr>
        <w:t xml:space="preserve">. This </w:t>
      </w:r>
      <w:r>
        <w:rPr>
          <w:szCs w:val="22"/>
        </w:rPr>
        <w:t xml:space="preserve">is usually achieved via the </w:t>
      </w:r>
      <w:r w:rsidR="0089017D" w:rsidRPr="0089017D">
        <w:rPr>
          <w:szCs w:val="22"/>
        </w:rPr>
        <w:t>completion of an annual self-assessment</w:t>
      </w:r>
      <w:r>
        <w:rPr>
          <w:szCs w:val="22"/>
        </w:rPr>
        <w:t xml:space="preserve"> but i</w:t>
      </w:r>
      <w:r w:rsidR="0089017D" w:rsidRPr="0089017D">
        <w:rPr>
          <w:szCs w:val="22"/>
        </w:rPr>
        <w:t xml:space="preserve">n addition the </w:t>
      </w:r>
      <w:r w:rsidR="00414C88" w:rsidRPr="0089017D">
        <w:rPr>
          <w:szCs w:val="22"/>
        </w:rPr>
        <w:t>Council needs to arrange an independent external assessment at least once every 5 years</w:t>
      </w:r>
      <w:r>
        <w:rPr>
          <w:szCs w:val="22"/>
        </w:rPr>
        <w:t xml:space="preserve">. In Lancashire this is delivered via a programme of reciprocal peer reviews under the auspices of the </w:t>
      </w:r>
      <w:r w:rsidR="00414C88" w:rsidRPr="0089017D">
        <w:rPr>
          <w:szCs w:val="22"/>
        </w:rPr>
        <w:t>Lancashire</w:t>
      </w:r>
      <w:r>
        <w:rPr>
          <w:szCs w:val="22"/>
        </w:rPr>
        <w:t xml:space="preserve"> </w:t>
      </w:r>
      <w:r w:rsidR="00414C88" w:rsidRPr="0089017D">
        <w:rPr>
          <w:szCs w:val="22"/>
        </w:rPr>
        <w:t>District Councils Audit Group</w:t>
      </w:r>
      <w:r>
        <w:rPr>
          <w:szCs w:val="22"/>
        </w:rPr>
        <w:t>.</w:t>
      </w:r>
      <w:r w:rsidR="00414C88" w:rsidRPr="0089017D">
        <w:rPr>
          <w:szCs w:val="22"/>
        </w:rPr>
        <w:t xml:space="preserve">   </w:t>
      </w:r>
    </w:p>
    <w:p w:rsidR="0089017D" w:rsidRPr="0089017D" w:rsidRDefault="0089017D" w:rsidP="00414C88">
      <w:pPr>
        <w:rPr>
          <w:szCs w:val="22"/>
        </w:rPr>
      </w:pPr>
    </w:p>
    <w:p w:rsidR="00414C88" w:rsidRDefault="00865AC0" w:rsidP="00865AC0">
      <w:pPr>
        <w:ind w:left="720" w:hanging="720"/>
        <w:rPr>
          <w:szCs w:val="22"/>
        </w:rPr>
      </w:pPr>
      <w:r>
        <w:rPr>
          <w:szCs w:val="22"/>
        </w:rPr>
        <w:t>8</w:t>
      </w:r>
      <w:r w:rsidR="001518A7">
        <w:rPr>
          <w:szCs w:val="22"/>
        </w:rPr>
        <w:t>.3</w:t>
      </w:r>
      <w:r w:rsidR="001518A7">
        <w:rPr>
          <w:szCs w:val="22"/>
        </w:rPr>
        <w:tab/>
      </w:r>
      <w:r w:rsidR="0089017D" w:rsidRPr="0089017D">
        <w:rPr>
          <w:szCs w:val="22"/>
        </w:rPr>
        <w:t>Th</w:t>
      </w:r>
      <w:r>
        <w:rPr>
          <w:szCs w:val="22"/>
        </w:rPr>
        <w:t xml:space="preserve">e peer review of the Shared Internal Audit Service </w:t>
      </w:r>
      <w:r w:rsidR="0089017D" w:rsidRPr="0089017D">
        <w:rPr>
          <w:szCs w:val="22"/>
        </w:rPr>
        <w:t>was recently undertaken by the Heads of Audit from Wyre &amp; Lancaster Councils</w:t>
      </w:r>
      <w:r>
        <w:rPr>
          <w:szCs w:val="22"/>
        </w:rPr>
        <w:t xml:space="preserve"> and w</w:t>
      </w:r>
      <w:r w:rsidR="0089017D" w:rsidRPr="0089017D">
        <w:rPr>
          <w:szCs w:val="22"/>
        </w:rPr>
        <w:t xml:space="preserve">e are pleased to </w:t>
      </w:r>
      <w:r w:rsidR="0089017D">
        <w:rPr>
          <w:szCs w:val="22"/>
        </w:rPr>
        <w:t>report</w:t>
      </w:r>
      <w:r w:rsidR="0089017D" w:rsidRPr="0089017D">
        <w:rPr>
          <w:szCs w:val="22"/>
        </w:rPr>
        <w:t xml:space="preserve"> that </w:t>
      </w:r>
      <w:r w:rsidR="007043E2">
        <w:rPr>
          <w:szCs w:val="22"/>
        </w:rPr>
        <w:t xml:space="preserve">the Service </w:t>
      </w:r>
      <w:r w:rsidR="0089017D" w:rsidRPr="0089017D">
        <w:rPr>
          <w:szCs w:val="22"/>
        </w:rPr>
        <w:t>fully conform</w:t>
      </w:r>
      <w:r w:rsidR="007043E2">
        <w:rPr>
          <w:szCs w:val="22"/>
        </w:rPr>
        <w:t>s</w:t>
      </w:r>
      <w:r w:rsidR="0089017D" w:rsidRPr="0089017D">
        <w:rPr>
          <w:szCs w:val="22"/>
        </w:rPr>
        <w:t xml:space="preserve"> with </w:t>
      </w:r>
      <w:r w:rsidR="0089017D">
        <w:rPr>
          <w:szCs w:val="22"/>
        </w:rPr>
        <w:t xml:space="preserve">all the requirements of </w:t>
      </w:r>
      <w:r w:rsidR="00391D21">
        <w:rPr>
          <w:szCs w:val="22"/>
        </w:rPr>
        <w:t xml:space="preserve">the </w:t>
      </w:r>
      <w:r w:rsidR="00391D21" w:rsidRPr="0089017D">
        <w:rPr>
          <w:szCs w:val="22"/>
        </w:rPr>
        <w:t>PSIAS</w:t>
      </w:r>
      <w:r w:rsidR="007043E2">
        <w:rPr>
          <w:szCs w:val="22"/>
        </w:rPr>
        <w:t xml:space="preserve">. </w:t>
      </w:r>
    </w:p>
    <w:p w:rsidR="00BD6A9F" w:rsidRDefault="00BD6A9F" w:rsidP="00414C88">
      <w:pPr>
        <w:rPr>
          <w:szCs w:val="22"/>
        </w:rPr>
      </w:pPr>
    </w:p>
    <w:p w:rsidR="00414C88" w:rsidRDefault="00414C88" w:rsidP="00414C88">
      <w:pPr>
        <w:rPr>
          <w:b/>
        </w:rPr>
      </w:pPr>
    </w:p>
    <w:p w:rsidR="0008107F" w:rsidRPr="00865AC0" w:rsidRDefault="00865AC0" w:rsidP="00865AC0">
      <w:pPr>
        <w:jc w:val="both"/>
        <w:rPr>
          <w:b/>
          <w:szCs w:val="22"/>
          <w:lang w:eastAsia="en-US"/>
        </w:rPr>
      </w:pPr>
      <w:r w:rsidRPr="00865AC0">
        <w:rPr>
          <w:b/>
          <w:szCs w:val="22"/>
          <w:lang w:eastAsia="en-US"/>
        </w:rPr>
        <w:t>9.</w:t>
      </w:r>
      <w:r w:rsidRPr="00865AC0">
        <w:rPr>
          <w:b/>
          <w:szCs w:val="22"/>
          <w:lang w:eastAsia="en-US"/>
        </w:rPr>
        <w:tab/>
      </w:r>
      <w:r w:rsidR="0008107F" w:rsidRPr="00865AC0">
        <w:rPr>
          <w:b/>
          <w:szCs w:val="22"/>
          <w:lang w:eastAsia="en-US"/>
        </w:rPr>
        <w:t>ISO 9001:2008</w:t>
      </w:r>
    </w:p>
    <w:p w:rsidR="0008107F" w:rsidRPr="00AC087F" w:rsidRDefault="0008107F" w:rsidP="0008107F">
      <w:pPr>
        <w:rPr>
          <w:szCs w:val="22"/>
          <w:lang w:eastAsia="en-US"/>
        </w:rPr>
      </w:pPr>
    </w:p>
    <w:p w:rsidR="0008107F" w:rsidRPr="00AC087F" w:rsidRDefault="00865AC0" w:rsidP="007043E2">
      <w:pPr>
        <w:ind w:left="720" w:hanging="720"/>
        <w:jc w:val="both"/>
        <w:rPr>
          <w:szCs w:val="22"/>
          <w:lang w:eastAsia="en-US"/>
        </w:rPr>
      </w:pPr>
      <w:r>
        <w:rPr>
          <w:szCs w:val="22"/>
          <w:lang w:eastAsia="en-US"/>
        </w:rPr>
        <w:t>9.1</w:t>
      </w:r>
      <w:r w:rsidR="0008107F">
        <w:rPr>
          <w:szCs w:val="22"/>
          <w:lang w:eastAsia="en-US"/>
        </w:rPr>
        <w:tab/>
      </w:r>
      <w:r w:rsidR="0008107F" w:rsidRPr="00AC087F">
        <w:rPr>
          <w:szCs w:val="22"/>
          <w:lang w:eastAsia="en-US"/>
        </w:rPr>
        <w:t xml:space="preserve">In January </w:t>
      </w:r>
      <w:r w:rsidR="007043E2">
        <w:rPr>
          <w:szCs w:val="22"/>
          <w:lang w:eastAsia="en-US"/>
        </w:rPr>
        <w:t xml:space="preserve">the Shared </w:t>
      </w:r>
      <w:r w:rsidR="0008107F" w:rsidRPr="00AC087F">
        <w:rPr>
          <w:szCs w:val="22"/>
          <w:lang w:eastAsia="en-US"/>
        </w:rPr>
        <w:t>Internal Audit</w:t>
      </w:r>
      <w:r w:rsidR="007043E2">
        <w:rPr>
          <w:szCs w:val="22"/>
          <w:lang w:eastAsia="en-US"/>
        </w:rPr>
        <w:t xml:space="preserve"> Service</w:t>
      </w:r>
      <w:r w:rsidR="0008107F" w:rsidRPr="00AC087F">
        <w:rPr>
          <w:szCs w:val="22"/>
          <w:lang w:eastAsia="en-US"/>
        </w:rPr>
        <w:t xml:space="preserve"> retained ISO 9001</w:t>
      </w:r>
      <w:r w:rsidR="0008107F">
        <w:rPr>
          <w:szCs w:val="22"/>
          <w:lang w:eastAsia="en-US"/>
        </w:rPr>
        <w:t>:2015</w:t>
      </w:r>
      <w:r w:rsidR="0008107F" w:rsidRPr="00AC087F">
        <w:rPr>
          <w:szCs w:val="22"/>
          <w:lang w:eastAsia="en-US"/>
        </w:rPr>
        <w:t xml:space="preserve"> accreditation for its Quality Assurance System which is continuously updated to reflect any changes in working practices. Retention of the standard demonstrates that the </w:t>
      </w:r>
      <w:r w:rsidR="007043E2">
        <w:rPr>
          <w:szCs w:val="22"/>
          <w:lang w:eastAsia="en-US"/>
        </w:rPr>
        <w:t xml:space="preserve">Service </w:t>
      </w:r>
      <w:r w:rsidR="0008107F" w:rsidRPr="00AC087F">
        <w:rPr>
          <w:szCs w:val="22"/>
          <w:lang w:eastAsia="en-US"/>
        </w:rPr>
        <w:t>is continuing to seek improved and more efficient working practices to maintain a high quality service.</w:t>
      </w:r>
    </w:p>
    <w:p w:rsidR="0008107F" w:rsidRPr="00AC087F" w:rsidRDefault="0008107F" w:rsidP="0008107F">
      <w:pPr>
        <w:rPr>
          <w:szCs w:val="22"/>
          <w:lang w:eastAsia="en-US"/>
        </w:rPr>
      </w:pPr>
    </w:p>
    <w:p w:rsidR="0008107F" w:rsidRDefault="0008107F" w:rsidP="00414C88">
      <w:pPr>
        <w:rPr>
          <w:b/>
        </w:rPr>
      </w:pPr>
    </w:p>
    <w:p w:rsidR="000B5251" w:rsidRDefault="000B5251" w:rsidP="002F5C5E">
      <w:pPr>
        <w:rPr>
          <w:b/>
          <w:szCs w:val="22"/>
        </w:rPr>
      </w:pPr>
      <w:r>
        <w:rPr>
          <w:b/>
          <w:szCs w:val="22"/>
        </w:rPr>
        <w:t>1</w:t>
      </w:r>
      <w:r w:rsidR="00865AC0">
        <w:rPr>
          <w:b/>
          <w:szCs w:val="22"/>
        </w:rPr>
        <w:t>0</w:t>
      </w:r>
      <w:r>
        <w:rPr>
          <w:b/>
          <w:szCs w:val="22"/>
        </w:rPr>
        <w:t xml:space="preserve">. </w:t>
      </w:r>
      <w:r w:rsidR="00BD6A9F">
        <w:rPr>
          <w:b/>
          <w:szCs w:val="22"/>
        </w:rPr>
        <w:tab/>
      </w:r>
      <w:r>
        <w:rPr>
          <w:b/>
          <w:szCs w:val="22"/>
        </w:rPr>
        <w:t xml:space="preserve">BACKGROUND DOCUMENTS </w:t>
      </w:r>
    </w:p>
    <w:p w:rsidR="00414C88" w:rsidRPr="009C1143" w:rsidRDefault="00414C88" w:rsidP="002F5C5E">
      <w:pPr>
        <w:rPr>
          <w:szCs w:val="22"/>
        </w:rPr>
      </w:pPr>
    </w:p>
    <w:p w:rsidR="000B5251" w:rsidRDefault="00061F3D" w:rsidP="000B5251">
      <w:pPr>
        <w:rPr>
          <w:szCs w:val="22"/>
        </w:rPr>
      </w:pPr>
      <w:r>
        <w:rPr>
          <w:szCs w:val="22"/>
        </w:rPr>
        <w:tab/>
      </w:r>
      <w:r w:rsidR="00414C88" w:rsidRPr="00414C88">
        <w:rPr>
          <w:szCs w:val="22"/>
        </w:rPr>
        <w:t>Internal Audit Plan 2017</w:t>
      </w:r>
      <w:r w:rsidR="00865AC0">
        <w:rPr>
          <w:szCs w:val="22"/>
        </w:rPr>
        <w:t>/1</w:t>
      </w:r>
      <w:r w:rsidR="00414C88" w:rsidRPr="00414C88">
        <w:rPr>
          <w:szCs w:val="22"/>
        </w:rPr>
        <w:t>8</w:t>
      </w:r>
    </w:p>
    <w:p w:rsidR="00061F3D" w:rsidRDefault="00061F3D" w:rsidP="000B5251">
      <w:pPr>
        <w:rPr>
          <w:szCs w:val="22"/>
        </w:rPr>
      </w:pPr>
    </w:p>
    <w:p w:rsidR="00865AC0" w:rsidRDefault="00865AC0" w:rsidP="000B5251">
      <w:pPr>
        <w:rPr>
          <w:szCs w:val="22"/>
        </w:rPr>
      </w:pPr>
    </w:p>
    <w:p w:rsidR="000B5251" w:rsidRDefault="000B5251" w:rsidP="000B5251">
      <w:pPr>
        <w:rPr>
          <w:b/>
        </w:rPr>
      </w:pPr>
      <w:r w:rsidRPr="00792A2B">
        <w:rPr>
          <w:b/>
        </w:rPr>
        <w:t>1</w:t>
      </w:r>
      <w:r w:rsidR="00865AC0">
        <w:rPr>
          <w:b/>
        </w:rPr>
        <w:t>1</w:t>
      </w:r>
      <w:r w:rsidRPr="00792A2B">
        <w:rPr>
          <w:b/>
        </w:rPr>
        <w:t xml:space="preserve">. </w:t>
      </w:r>
      <w:r w:rsidR="00BD6A9F">
        <w:rPr>
          <w:b/>
        </w:rPr>
        <w:tab/>
      </w:r>
      <w:r w:rsidRPr="00792A2B">
        <w:rPr>
          <w:b/>
        </w:rPr>
        <w:t xml:space="preserve">APPENDICES </w:t>
      </w:r>
    </w:p>
    <w:p w:rsidR="000B5251" w:rsidRPr="000B5251" w:rsidRDefault="000B5251" w:rsidP="000B5251">
      <w:pPr>
        <w:ind w:left="720" w:hanging="720"/>
        <w:rPr>
          <w:rFonts w:cs="Arial"/>
          <w:i/>
          <w:color w:val="2E74B5"/>
        </w:rPr>
      </w:pPr>
    </w:p>
    <w:p w:rsidR="000B5251" w:rsidRDefault="00061F3D" w:rsidP="000B5251">
      <w:pPr>
        <w:ind w:left="720" w:hanging="720"/>
      </w:pPr>
      <w:r>
        <w:tab/>
        <w:t xml:space="preserve"> </w:t>
      </w:r>
      <w:r w:rsidR="00391D21">
        <w:t xml:space="preserve"> </w:t>
      </w:r>
      <w:r w:rsidRPr="00061F3D">
        <w:t>Appendix 1</w:t>
      </w:r>
      <w:r w:rsidRPr="00061F3D">
        <w:rPr>
          <w:i/>
        </w:rPr>
        <w:t xml:space="preserve"> </w:t>
      </w:r>
      <w:r w:rsidR="00391D21">
        <w:rPr>
          <w:i/>
          <w:color w:val="2E74B5"/>
        </w:rPr>
        <w:t>–</w:t>
      </w:r>
      <w:r w:rsidRPr="00061F3D">
        <w:rPr>
          <w:i/>
          <w:color w:val="2E74B5"/>
        </w:rPr>
        <w:t xml:space="preserve"> </w:t>
      </w:r>
      <w:r w:rsidRPr="00061F3D">
        <w:t>S</w:t>
      </w:r>
      <w:r w:rsidR="00391D21">
        <w:t>ummary of Internal Audit Work 2017-18</w:t>
      </w:r>
    </w:p>
    <w:p w:rsidR="00061F3D" w:rsidRDefault="0036063D" w:rsidP="0036063D">
      <w:pPr>
        <w:ind w:left="720" w:hanging="720"/>
        <w:rPr>
          <w:szCs w:val="22"/>
        </w:rPr>
      </w:pPr>
      <w:r>
        <w:tab/>
        <w:t xml:space="preserve">  </w:t>
      </w:r>
      <w:r w:rsidR="00061F3D" w:rsidRPr="00061F3D">
        <w:t xml:space="preserve">Appendix 2 </w:t>
      </w:r>
      <w:r w:rsidR="00391D21">
        <w:t>–</w:t>
      </w:r>
      <w:r w:rsidR="00061F3D" w:rsidRPr="00061F3D">
        <w:t xml:space="preserve"> I</w:t>
      </w:r>
      <w:r w:rsidR="00391D21">
        <w:t>nternal Audit Performance Indicators as at 30</w:t>
      </w:r>
      <w:r w:rsidR="00391D21" w:rsidRPr="00391D21">
        <w:rPr>
          <w:vertAlign w:val="superscript"/>
        </w:rPr>
        <w:t>th</w:t>
      </w:r>
      <w:r w:rsidR="00391D21">
        <w:t xml:space="preserve"> March 2018</w:t>
      </w:r>
    </w:p>
    <w:p w:rsidR="00061F3D" w:rsidRPr="00061F3D" w:rsidRDefault="00061F3D" w:rsidP="00061F3D">
      <w:pPr>
        <w:ind w:hanging="142"/>
        <w:rPr>
          <w:szCs w:val="22"/>
        </w:rPr>
      </w:pPr>
      <w:r>
        <w:rPr>
          <w:szCs w:val="22"/>
        </w:rPr>
        <w:tab/>
      </w:r>
      <w:r>
        <w:rPr>
          <w:szCs w:val="22"/>
        </w:rPr>
        <w:tab/>
        <w:t xml:space="preserve"> </w:t>
      </w:r>
      <w:r w:rsidR="00391D21">
        <w:rPr>
          <w:szCs w:val="22"/>
        </w:rPr>
        <w:t xml:space="preserve"> </w:t>
      </w:r>
    </w:p>
    <w:p w:rsidR="000B5251" w:rsidRPr="000B5251" w:rsidRDefault="000B5251" w:rsidP="000B5251">
      <w:pPr>
        <w:ind w:left="720" w:hanging="720"/>
        <w:rPr>
          <w:rFonts w:cs="Arial"/>
          <w:i/>
          <w:color w:val="2E74B5"/>
        </w:rPr>
      </w:pPr>
    </w:p>
    <w:p w:rsidR="001C5E49" w:rsidRDefault="00414C88" w:rsidP="007043E2">
      <w:pPr>
        <w:tabs>
          <w:tab w:val="left" w:pos="2839"/>
        </w:tabs>
        <w:ind w:left="426" w:firstLine="283"/>
        <w:rPr>
          <w:b/>
        </w:rPr>
      </w:pPr>
      <w:r>
        <w:rPr>
          <w:b/>
        </w:rPr>
        <w:t xml:space="preserve">Garry Barclay </w:t>
      </w:r>
    </w:p>
    <w:p w:rsidR="00BD6A9F" w:rsidRDefault="00414C88" w:rsidP="007043E2">
      <w:pPr>
        <w:tabs>
          <w:tab w:val="left" w:pos="2839"/>
        </w:tabs>
        <w:ind w:left="426" w:firstLine="283"/>
        <w:rPr>
          <w:b/>
        </w:rPr>
      </w:pPr>
      <w:r>
        <w:rPr>
          <w:b/>
        </w:rPr>
        <w:t>Head of Shared Assurance Services</w:t>
      </w:r>
    </w:p>
    <w:p w:rsidR="007043E2" w:rsidRDefault="007043E2" w:rsidP="007043E2">
      <w:pPr>
        <w:tabs>
          <w:tab w:val="left" w:pos="2839"/>
        </w:tabs>
        <w:ind w:left="426" w:firstLine="283"/>
        <w:rPr>
          <w:b/>
        </w:rPr>
      </w:pPr>
    </w:p>
    <w:p w:rsidR="007043E2" w:rsidRPr="007F1945" w:rsidRDefault="007043E2" w:rsidP="00391D21">
      <w:pPr>
        <w:tabs>
          <w:tab w:val="left" w:pos="2839"/>
        </w:tabs>
        <w:ind w:left="426" w:hanging="142"/>
        <w:rPr>
          <w: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754"/>
        <w:gridCol w:w="2350"/>
      </w:tblGrid>
      <w:tr w:rsidR="001C5E49" w:rsidTr="007043E2">
        <w:tc>
          <w:tcPr>
            <w:tcW w:w="4820" w:type="dxa"/>
            <w:shd w:val="clear" w:color="auto" w:fill="auto"/>
          </w:tcPr>
          <w:p w:rsidR="001C5E49" w:rsidRPr="0031059E" w:rsidRDefault="001C5E49" w:rsidP="00E2196F">
            <w:pPr>
              <w:rPr>
                <w:rFonts w:cs="Arial"/>
              </w:rPr>
            </w:pPr>
            <w:r w:rsidRPr="0031059E">
              <w:rPr>
                <w:rFonts w:cs="Arial"/>
              </w:rPr>
              <w:t>Report Author:</w:t>
            </w:r>
          </w:p>
        </w:tc>
        <w:tc>
          <w:tcPr>
            <w:tcW w:w="1754" w:type="dxa"/>
            <w:shd w:val="clear" w:color="auto" w:fill="auto"/>
          </w:tcPr>
          <w:p w:rsidR="001C5E49" w:rsidRPr="0031059E" w:rsidRDefault="001C5E49" w:rsidP="00E2196F">
            <w:pPr>
              <w:rPr>
                <w:rFonts w:cs="Arial"/>
              </w:rPr>
            </w:pPr>
            <w:r w:rsidRPr="0031059E">
              <w:rPr>
                <w:rFonts w:cs="Arial"/>
              </w:rPr>
              <w:t>Telephone:</w:t>
            </w:r>
          </w:p>
        </w:tc>
        <w:tc>
          <w:tcPr>
            <w:tcW w:w="2350" w:type="dxa"/>
            <w:shd w:val="clear" w:color="auto" w:fill="auto"/>
          </w:tcPr>
          <w:p w:rsidR="001C5E49" w:rsidRPr="0031059E" w:rsidRDefault="001C5E49" w:rsidP="00E2196F">
            <w:pPr>
              <w:rPr>
                <w:rFonts w:cs="Arial"/>
              </w:rPr>
            </w:pPr>
            <w:r w:rsidRPr="0031059E">
              <w:rPr>
                <w:rFonts w:cs="Arial"/>
              </w:rPr>
              <w:t>Date:</w:t>
            </w:r>
          </w:p>
        </w:tc>
      </w:tr>
      <w:tr w:rsidR="00C903AC" w:rsidTr="007043E2">
        <w:tc>
          <w:tcPr>
            <w:tcW w:w="4820" w:type="dxa"/>
            <w:shd w:val="clear" w:color="auto" w:fill="auto"/>
          </w:tcPr>
          <w:p w:rsidR="00C903AC" w:rsidRPr="0031059E" w:rsidRDefault="00414C88" w:rsidP="00414C88">
            <w:pPr>
              <w:rPr>
                <w:rFonts w:cs="Arial"/>
              </w:rPr>
            </w:pPr>
            <w:r>
              <w:rPr>
                <w:rFonts w:cs="Arial"/>
              </w:rPr>
              <w:t>Dawn Highton</w:t>
            </w:r>
          </w:p>
        </w:tc>
        <w:tc>
          <w:tcPr>
            <w:tcW w:w="1754" w:type="dxa"/>
            <w:shd w:val="clear" w:color="auto" w:fill="auto"/>
          </w:tcPr>
          <w:p w:rsidR="00C903AC" w:rsidRPr="0031059E" w:rsidRDefault="00C903AC" w:rsidP="00C903AC">
            <w:pPr>
              <w:rPr>
                <w:rFonts w:cs="Arial"/>
              </w:rPr>
            </w:pPr>
            <w:r>
              <w:rPr>
                <w:rFonts w:cs="Arial"/>
              </w:rPr>
              <w:t>01772 62</w:t>
            </w:r>
            <w:r w:rsidR="00414C88">
              <w:rPr>
                <w:rFonts w:cs="Arial"/>
              </w:rPr>
              <w:t>5251</w:t>
            </w:r>
          </w:p>
        </w:tc>
        <w:tc>
          <w:tcPr>
            <w:tcW w:w="2350" w:type="dxa"/>
            <w:shd w:val="clear" w:color="auto" w:fill="auto"/>
          </w:tcPr>
          <w:p w:rsidR="00C903AC" w:rsidRPr="0031059E" w:rsidRDefault="007043E2" w:rsidP="007043E2">
            <w:pPr>
              <w:rPr>
                <w:rFonts w:cs="Arial"/>
              </w:rPr>
            </w:pPr>
            <w:r>
              <w:rPr>
                <w:rFonts w:cs="Arial"/>
              </w:rPr>
              <w:t>1</w:t>
            </w:r>
            <w:r w:rsidRPr="007043E2">
              <w:rPr>
                <w:rFonts w:cs="Arial"/>
                <w:vertAlign w:val="superscript"/>
              </w:rPr>
              <w:t>st</w:t>
            </w:r>
            <w:r>
              <w:rPr>
                <w:rFonts w:cs="Arial"/>
              </w:rPr>
              <w:t xml:space="preserve"> May </w:t>
            </w:r>
            <w:r w:rsidR="00414C88">
              <w:rPr>
                <w:rFonts w:cs="Arial"/>
              </w:rPr>
              <w:t>2018</w:t>
            </w:r>
          </w:p>
        </w:tc>
      </w:tr>
    </w:tbl>
    <w:p w:rsidR="004F34DE" w:rsidRDefault="004F34DE" w:rsidP="001C5E49">
      <w:pPr>
        <w:tabs>
          <w:tab w:val="left" w:pos="2839"/>
        </w:tabs>
        <w:rPr>
          <w:rFonts w:cs="Arial"/>
        </w:rPr>
        <w:sectPr w:rsidR="004F34DE" w:rsidSect="00E971A2">
          <w:footerReference w:type="default" r:id="rId10"/>
          <w:type w:val="continuous"/>
          <w:pgSz w:w="11906" w:h="16838" w:code="9"/>
          <w:pgMar w:top="1134" w:right="1134" w:bottom="964" w:left="1134" w:header="720" w:footer="720" w:gutter="0"/>
          <w:pgNumType w:start="1"/>
          <w:cols w:space="720"/>
        </w:sectPr>
      </w:pPr>
    </w:p>
    <w:p w:rsidR="004F34DE" w:rsidRPr="004F34DE" w:rsidRDefault="004F34DE" w:rsidP="004F34DE">
      <w:pPr>
        <w:tabs>
          <w:tab w:val="center" w:pos="4153"/>
          <w:tab w:val="right" w:pos="8306"/>
        </w:tabs>
        <w:jc w:val="center"/>
        <w:rPr>
          <w:b/>
          <w:color w:val="000000"/>
        </w:rPr>
      </w:pPr>
      <w:r w:rsidRPr="004F34DE">
        <w:rPr>
          <w:b/>
        </w:rPr>
        <w:t xml:space="preserve">APPENDIX 1 - SUMMARY OF INTERNAL AUDIT WORK </w:t>
      </w:r>
      <w:r w:rsidRPr="004F34DE">
        <w:rPr>
          <w:b/>
          <w:color w:val="000000"/>
        </w:rPr>
        <w:t>201</w:t>
      </w:r>
      <w:r w:rsidR="0054286E">
        <w:rPr>
          <w:b/>
          <w:color w:val="000000"/>
        </w:rPr>
        <w:t>7</w:t>
      </w:r>
      <w:r w:rsidRPr="004F34DE">
        <w:rPr>
          <w:b/>
          <w:color w:val="000000"/>
        </w:rPr>
        <w:t>-1</w:t>
      </w:r>
      <w:r w:rsidR="0054286E">
        <w:rPr>
          <w:b/>
          <w:color w:val="000000"/>
        </w:rPr>
        <w:t>8</w:t>
      </w:r>
    </w:p>
    <w:p w:rsidR="00C52A6A" w:rsidRPr="004F34DE" w:rsidRDefault="00C52A6A" w:rsidP="004F34DE">
      <w:pPr>
        <w:tabs>
          <w:tab w:val="center" w:pos="4153"/>
          <w:tab w:val="right" w:pos="8306"/>
        </w:tabs>
        <w:jc w:val="center"/>
        <w:rPr>
          <w:b/>
        </w:rPr>
      </w:pPr>
    </w:p>
    <w:tbl>
      <w:tblPr>
        <w:tblW w:w="15877"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5245"/>
        <w:gridCol w:w="2126"/>
        <w:gridCol w:w="5670"/>
      </w:tblGrid>
      <w:tr w:rsidR="004F34DE" w:rsidRPr="004F34DE" w:rsidTr="00C52A6A">
        <w:trPr>
          <w:trHeight w:val="512"/>
        </w:trPr>
        <w:tc>
          <w:tcPr>
            <w:tcW w:w="2836" w:type="dxa"/>
            <w:tcBorders>
              <w:top w:val="single" w:sz="4" w:space="0" w:color="auto"/>
              <w:left w:val="single" w:sz="4" w:space="0" w:color="auto"/>
              <w:bottom w:val="single" w:sz="4" w:space="0" w:color="auto"/>
              <w:right w:val="single" w:sz="4" w:space="0" w:color="auto"/>
            </w:tcBorders>
            <w:shd w:val="clear" w:color="auto" w:fill="D9D9D9"/>
          </w:tcPr>
          <w:p w:rsidR="004F34DE" w:rsidRPr="004F34DE" w:rsidRDefault="004F34DE" w:rsidP="004F34DE">
            <w:pPr>
              <w:jc w:val="center"/>
              <w:rPr>
                <w:b/>
                <w:szCs w:val="22"/>
              </w:rPr>
            </w:pPr>
            <w:r w:rsidRPr="004F34DE">
              <w:rPr>
                <w:b/>
                <w:szCs w:val="22"/>
              </w:rPr>
              <w:t>AUDITS</w:t>
            </w:r>
          </w:p>
          <w:p w:rsidR="004F34DE" w:rsidRPr="004F34DE" w:rsidRDefault="004F34DE" w:rsidP="004F34DE">
            <w:pPr>
              <w:jc w:val="center"/>
              <w:rPr>
                <w:b/>
                <w:szCs w:val="22"/>
              </w:rPr>
            </w:pPr>
            <w:r w:rsidRPr="004F34DE">
              <w:rPr>
                <w:b/>
                <w:szCs w:val="22"/>
              </w:rPr>
              <w:t>UNDERTAKEN</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4F34DE" w:rsidRPr="004F34DE" w:rsidRDefault="004F34DE" w:rsidP="004F34DE">
            <w:pPr>
              <w:jc w:val="center"/>
              <w:rPr>
                <w:b/>
                <w:szCs w:val="22"/>
              </w:rPr>
            </w:pPr>
            <w:r w:rsidRPr="004F34DE">
              <w:rPr>
                <w:b/>
                <w:szCs w:val="22"/>
              </w:rPr>
              <w:t xml:space="preserve">AUDIT </w:t>
            </w:r>
            <w:r w:rsidR="00642C5F">
              <w:rPr>
                <w:b/>
                <w:szCs w:val="22"/>
              </w:rPr>
              <w:t>OBJECTIVES &amp;</w:t>
            </w:r>
          </w:p>
          <w:p w:rsidR="004F34DE" w:rsidRPr="004F34DE" w:rsidRDefault="004F34DE" w:rsidP="004F34DE">
            <w:pPr>
              <w:jc w:val="center"/>
              <w:rPr>
                <w:b/>
                <w:szCs w:val="22"/>
              </w:rPr>
            </w:pPr>
            <w:r w:rsidRPr="004F34DE">
              <w:rPr>
                <w:b/>
                <w:szCs w:val="22"/>
              </w:rPr>
              <w:t>APPROACH</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4F34DE" w:rsidRPr="004F34DE" w:rsidRDefault="004F34DE" w:rsidP="004F34DE">
            <w:pPr>
              <w:jc w:val="center"/>
              <w:rPr>
                <w:b/>
                <w:szCs w:val="22"/>
              </w:rPr>
            </w:pPr>
            <w:r w:rsidRPr="004F34DE">
              <w:rPr>
                <w:b/>
                <w:szCs w:val="22"/>
              </w:rPr>
              <w:t>CONTROLS</w:t>
            </w:r>
          </w:p>
          <w:p w:rsidR="004F34DE" w:rsidRPr="004F34DE" w:rsidRDefault="004F34DE" w:rsidP="004F34DE">
            <w:pPr>
              <w:jc w:val="center"/>
              <w:rPr>
                <w:b/>
                <w:szCs w:val="22"/>
              </w:rPr>
            </w:pPr>
            <w:r w:rsidRPr="004F34DE">
              <w:rPr>
                <w:b/>
                <w:szCs w:val="22"/>
              </w:rPr>
              <w:t>RATING</w:t>
            </w:r>
          </w:p>
        </w:tc>
        <w:tc>
          <w:tcPr>
            <w:tcW w:w="5670" w:type="dxa"/>
            <w:tcBorders>
              <w:top w:val="single" w:sz="4" w:space="0" w:color="auto"/>
              <w:left w:val="single" w:sz="4" w:space="0" w:color="auto"/>
              <w:bottom w:val="single" w:sz="4" w:space="0" w:color="auto"/>
              <w:right w:val="single" w:sz="4" w:space="0" w:color="auto"/>
            </w:tcBorders>
            <w:shd w:val="clear" w:color="auto" w:fill="D9D9D9"/>
          </w:tcPr>
          <w:p w:rsidR="004F34DE" w:rsidRPr="004F34DE" w:rsidRDefault="004F34DE" w:rsidP="004F34DE">
            <w:pPr>
              <w:jc w:val="center"/>
              <w:rPr>
                <w:b/>
                <w:szCs w:val="22"/>
              </w:rPr>
            </w:pPr>
            <w:r w:rsidRPr="004F34DE">
              <w:rPr>
                <w:b/>
                <w:szCs w:val="22"/>
              </w:rPr>
              <w:t>KEY CONTROL</w:t>
            </w:r>
          </w:p>
          <w:p w:rsidR="004F34DE" w:rsidRPr="004F34DE" w:rsidRDefault="004F34DE" w:rsidP="004F34DE">
            <w:pPr>
              <w:jc w:val="center"/>
              <w:rPr>
                <w:b/>
                <w:szCs w:val="22"/>
              </w:rPr>
            </w:pPr>
            <w:r w:rsidRPr="004F34DE">
              <w:rPr>
                <w:b/>
                <w:szCs w:val="22"/>
              </w:rPr>
              <w:t>ISSUES</w:t>
            </w:r>
          </w:p>
        </w:tc>
      </w:tr>
    </w:tbl>
    <w:p w:rsidR="00C52A6A" w:rsidRPr="004F34DE" w:rsidRDefault="00C52A6A" w:rsidP="004F34DE">
      <w:pPr>
        <w:tabs>
          <w:tab w:val="center" w:pos="4153"/>
          <w:tab w:val="right" w:pos="8306"/>
        </w:tabs>
        <w:jc w:val="center"/>
        <w:rPr>
          <w:b/>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5245"/>
        <w:gridCol w:w="2126"/>
        <w:gridCol w:w="5529"/>
      </w:tblGrid>
      <w:tr w:rsidR="00642C5F" w:rsidRPr="004F34DE" w:rsidTr="00280995">
        <w:trPr>
          <w:trHeight w:val="377"/>
          <w:jc w:val="center"/>
        </w:trPr>
        <w:tc>
          <w:tcPr>
            <w:tcW w:w="15730" w:type="dxa"/>
            <w:gridSpan w:val="4"/>
            <w:shd w:val="clear" w:color="auto" w:fill="D9D9D9"/>
          </w:tcPr>
          <w:p w:rsidR="00642C5F" w:rsidRPr="004F34DE" w:rsidRDefault="00642C5F" w:rsidP="00642C5F">
            <w:pPr>
              <w:rPr>
                <w:rFonts w:cs="Arial"/>
                <w:b/>
                <w:sz w:val="20"/>
              </w:rPr>
            </w:pPr>
            <w:r>
              <w:rPr>
                <w:rFonts w:cs="Arial"/>
                <w:b/>
                <w:sz w:val="20"/>
              </w:rPr>
              <w:t>SOUTH RIBBLE COUNCIL</w:t>
            </w:r>
          </w:p>
          <w:p w:rsidR="00642C5F" w:rsidRPr="004F34DE" w:rsidRDefault="00642C5F" w:rsidP="004F34DE">
            <w:pPr>
              <w:ind w:left="720"/>
              <w:rPr>
                <w:color w:val="000000"/>
              </w:rPr>
            </w:pPr>
          </w:p>
        </w:tc>
      </w:tr>
      <w:tr w:rsidR="004F34DE" w:rsidRPr="004F34DE" w:rsidTr="00280995">
        <w:trPr>
          <w:trHeight w:val="1015"/>
          <w:jc w:val="center"/>
        </w:trPr>
        <w:tc>
          <w:tcPr>
            <w:tcW w:w="2830" w:type="dxa"/>
            <w:tcBorders>
              <w:bottom w:val="single" w:sz="4" w:space="0" w:color="auto"/>
            </w:tcBorders>
            <w:shd w:val="clear" w:color="auto" w:fill="auto"/>
            <w:vAlign w:val="center"/>
          </w:tcPr>
          <w:p w:rsidR="004F34DE" w:rsidRPr="004F34DE" w:rsidRDefault="004F34DE" w:rsidP="004F34DE">
            <w:pPr>
              <w:rPr>
                <w:rFonts w:cs="Arial"/>
                <w:sz w:val="20"/>
              </w:rPr>
            </w:pPr>
            <w:r w:rsidRPr="004F34DE">
              <w:rPr>
                <w:rFonts w:cs="Arial"/>
                <w:sz w:val="20"/>
              </w:rPr>
              <w:t>Annual Governance Statement</w:t>
            </w:r>
          </w:p>
        </w:tc>
        <w:tc>
          <w:tcPr>
            <w:tcW w:w="5245" w:type="dxa"/>
            <w:shd w:val="clear" w:color="auto" w:fill="auto"/>
          </w:tcPr>
          <w:p w:rsidR="00BF60F7" w:rsidRPr="00B92A58" w:rsidRDefault="00BF60F7" w:rsidP="00B92A58">
            <w:pPr>
              <w:autoSpaceDE w:val="0"/>
              <w:autoSpaceDN w:val="0"/>
              <w:adjustRightInd w:val="0"/>
              <w:rPr>
                <w:rFonts w:cs="Arial"/>
                <w:sz w:val="20"/>
              </w:rPr>
            </w:pPr>
            <w:r w:rsidRPr="00B92A58">
              <w:rPr>
                <w:rFonts w:cs="Arial"/>
                <w:sz w:val="20"/>
              </w:rPr>
              <w:t xml:space="preserve">The Council is required </w:t>
            </w:r>
            <w:r w:rsidR="00B92A58" w:rsidRPr="00B92A58">
              <w:rPr>
                <w:rFonts w:cs="Arial"/>
                <w:sz w:val="20"/>
              </w:rPr>
              <w:t>under 10</w:t>
            </w:r>
            <w:r w:rsidRPr="00B92A58">
              <w:rPr>
                <w:rFonts w:cs="Arial"/>
                <w:sz w:val="20"/>
              </w:rPr>
              <w:t>(1)(b) of the Accounts and Audit Regulations 2015</w:t>
            </w:r>
            <w:r w:rsidR="00B92A58" w:rsidRPr="00B92A58">
              <w:rPr>
                <w:rFonts w:cs="Arial"/>
                <w:sz w:val="20"/>
              </w:rPr>
              <w:t xml:space="preserve">, to publish an Annual Governance Statement (AGS).  </w:t>
            </w:r>
          </w:p>
          <w:p w:rsidR="00BF60F7" w:rsidRPr="00B92A58" w:rsidRDefault="00BF60F7" w:rsidP="004F34DE">
            <w:pPr>
              <w:rPr>
                <w:rFonts w:cs="Arial"/>
                <w:sz w:val="20"/>
              </w:rPr>
            </w:pPr>
          </w:p>
          <w:p w:rsidR="004F34DE" w:rsidRDefault="00B92A58" w:rsidP="00B92A58">
            <w:pPr>
              <w:rPr>
                <w:rFonts w:cs="Arial"/>
                <w:sz w:val="20"/>
              </w:rPr>
            </w:pPr>
            <w:r w:rsidRPr="00B92A58">
              <w:rPr>
                <w:rFonts w:cs="Arial"/>
                <w:sz w:val="20"/>
              </w:rPr>
              <w:t>The role of</w:t>
            </w:r>
            <w:r>
              <w:rPr>
                <w:rFonts w:cs="Arial"/>
                <w:sz w:val="20"/>
              </w:rPr>
              <w:t xml:space="preserve"> Internal Audit was to </w:t>
            </w:r>
            <w:r w:rsidR="004F34DE" w:rsidRPr="004F34DE">
              <w:rPr>
                <w:rFonts w:cs="Arial"/>
                <w:sz w:val="20"/>
              </w:rPr>
              <w:t xml:space="preserve">co-ordinate a review of the system of governance and highlight any improvement actions to include in </w:t>
            </w:r>
            <w:r>
              <w:rPr>
                <w:rFonts w:cs="Arial"/>
                <w:sz w:val="20"/>
              </w:rPr>
              <w:t>the Annual Governance Statement Action Plan.</w:t>
            </w:r>
          </w:p>
          <w:p w:rsidR="00C52A6A" w:rsidRPr="004F34DE" w:rsidRDefault="00C52A6A" w:rsidP="00B92A58">
            <w:pPr>
              <w:rPr>
                <w:rFonts w:cs="Arial"/>
                <w:sz w:val="20"/>
              </w:rPr>
            </w:pPr>
          </w:p>
        </w:tc>
        <w:tc>
          <w:tcPr>
            <w:tcW w:w="2126" w:type="dxa"/>
            <w:shd w:val="clear" w:color="auto" w:fill="auto"/>
            <w:vAlign w:val="center"/>
          </w:tcPr>
          <w:p w:rsidR="004F34DE" w:rsidRPr="004F34DE" w:rsidRDefault="004F34DE" w:rsidP="004F34DE">
            <w:pPr>
              <w:jc w:val="center"/>
              <w:rPr>
                <w:rFonts w:cs="Arial"/>
                <w:color w:val="000000"/>
                <w:sz w:val="20"/>
              </w:rPr>
            </w:pPr>
            <w:r w:rsidRPr="004F34DE">
              <w:rPr>
                <w:rFonts w:cs="Arial"/>
                <w:color w:val="000000"/>
                <w:sz w:val="20"/>
              </w:rPr>
              <w:t>Not applicable</w:t>
            </w:r>
          </w:p>
        </w:tc>
        <w:tc>
          <w:tcPr>
            <w:tcW w:w="5529" w:type="dxa"/>
            <w:shd w:val="clear" w:color="auto" w:fill="auto"/>
          </w:tcPr>
          <w:p w:rsidR="004F34DE" w:rsidRPr="004F34DE" w:rsidRDefault="004F34DE" w:rsidP="004F34DE">
            <w:pPr>
              <w:ind w:left="-18"/>
              <w:rPr>
                <w:rFonts w:cs="Arial"/>
                <w:color w:val="000000"/>
                <w:sz w:val="20"/>
              </w:rPr>
            </w:pPr>
          </w:p>
          <w:p w:rsidR="004F34DE" w:rsidRPr="004F34DE" w:rsidRDefault="00B92A58" w:rsidP="00B92A58">
            <w:pPr>
              <w:ind w:left="-18"/>
              <w:rPr>
                <w:rFonts w:cs="Arial"/>
                <w:sz w:val="20"/>
              </w:rPr>
            </w:pPr>
            <w:r w:rsidRPr="004F34DE">
              <w:rPr>
                <w:rFonts w:cs="Arial"/>
                <w:color w:val="000000"/>
                <w:sz w:val="20"/>
              </w:rPr>
              <w:t>Proactive input provided rather than an audit / review</w:t>
            </w:r>
          </w:p>
        </w:tc>
      </w:tr>
      <w:tr w:rsidR="004F34DE" w:rsidRPr="004F34DE" w:rsidTr="00280995">
        <w:trPr>
          <w:trHeight w:val="939"/>
          <w:jc w:val="center"/>
        </w:trPr>
        <w:tc>
          <w:tcPr>
            <w:tcW w:w="2830" w:type="dxa"/>
            <w:tcBorders>
              <w:top w:val="single" w:sz="4" w:space="0" w:color="auto"/>
              <w:left w:val="single" w:sz="4" w:space="0" w:color="auto"/>
              <w:bottom w:val="single" w:sz="4" w:space="0" w:color="auto"/>
              <w:right w:val="nil"/>
            </w:tcBorders>
            <w:shd w:val="clear" w:color="auto" w:fill="auto"/>
            <w:vAlign w:val="center"/>
          </w:tcPr>
          <w:p w:rsidR="004F34DE" w:rsidRPr="004F34DE" w:rsidRDefault="004F34DE" w:rsidP="004F34DE">
            <w:pPr>
              <w:rPr>
                <w:rFonts w:cs="Arial"/>
                <w:sz w:val="20"/>
              </w:rPr>
            </w:pPr>
            <w:r w:rsidRPr="004F34DE">
              <w:rPr>
                <w:rFonts w:cs="Arial"/>
                <w:sz w:val="20"/>
              </w:rPr>
              <w:t>Anti-Fraud &amp; Corruption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34DE" w:rsidRPr="004F34DE" w:rsidRDefault="004F34DE" w:rsidP="004F34DE">
            <w:pPr>
              <w:rPr>
                <w:rFonts w:cs="Arial"/>
                <w:sz w:val="20"/>
              </w:rPr>
            </w:pPr>
            <w:r w:rsidRPr="004F34DE">
              <w:rPr>
                <w:rFonts w:cs="Arial"/>
                <w:sz w:val="20"/>
              </w:rPr>
              <w:t>To provide generic fraud awareness training and issue information bulletins highlighting specific fraud risks.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F34DE" w:rsidRPr="004F34DE" w:rsidRDefault="004F34DE" w:rsidP="004F34DE">
            <w:pPr>
              <w:jc w:val="center"/>
              <w:rPr>
                <w:rFonts w:cs="Arial"/>
                <w:color w:val="000000"/>
                <w:sz w:val="20"/>
              </w:rPr>
            </w:pPr>
            <w:r w:rsidRPr="004F34DE">
              <w:rPr>
                <w:rFonts w:cs="Arial"/>
                <w:color w:val="000000"/>
                <w:sz w:val="20"/>
              </w:rPr>
              <w:t>Not applicable</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F34DE" w:rsidRPr="004F34DE" w:rsidRDefault="004F34DE" w:rsidP="004F34DE">
            <w:pPr>
              <w:ind w:left="-18"/>
              <w:rPr>
                <w:rFonts w:cs="Arial"/>
                <w:color w:val="000000"/>
                <w:sz w:val="20"/>
              </w:rPr>
            </w:pPr>
          </w:p>
          <w:p w:rsidR="004F34DE" w:rsidRPr="004F34DE" w:rsidRDefault="004F34DE" w:rsidP="004F34DE">
            <w:pPr>
              <w:ind w:left="-18"/>
              <w:rPr>
                <w:rFonts w:cs="Arial"/>
                <w:sz w:val="20"/>
              </w:rPr>
            </w:pPr>
            <w:r w:rsidRPr="004F34DE">
              <w:rPr>
                <w:rFonts w:cs="Arial"/>
                <w:color w:val="000000"/>
                <w:sz w:val="20"/>
              </w:rPr>
              <w:t>Proactive input provided rather than an audit / review</w:t>
            </w:r>
          </w:p>
        </w:tc>
      </w:tr>
      <w:tr w:rsidR="00AE6994" w:rsidRPr="004F34DE" w:rsidTr="00280995">
        <w:trPr>
          <w:trHeight w:val="1256"/>
          <w:jc w:val="center"/>
        </w:trPr>
        <w:tc>
          <w:tcPr>
            <w:tcW w:w="2830" w:type="dxa"/>
            <w:tcBorders>
              <w:top w:val="single" w:sz="4" w:space="0" w:color="auto"/>
              <w:left w:val="single" w:sz="4" w:space="0" w:color="auto"/>
              <w:bottom w:val="single" w:sz="4" w:space="0" w:color="auto"/>
              <w:right w:val="nil"/>
            </w:tcBorders>
            <w:shd w:val="clear" w:color="auto" w:fill="auto"/>
            <w:vAlign w:val="center"/>
          </w:tcPr>
          <w:p w:rsidR="00AE6994" w:rsidRPr="004F34DE" w:rsidRDefault="00AE6994" w:rsidP="00AE6994">
            <w:pPr>
              <w:rPr>
                <w:rFonts w:cs="Arial"/>
                <w:sz w:val="20"/>
              </w:rPr>
            </w:pPr>
            <w:r w:rsidRPr="004F34DE">
              <w:rPr>
                <w:rFonts w:cs="Arial"/>
                <w:sz w:val="20"/>
              </w:rPr>
              <w:t>N</w:t>
            </w:r>
            <w:r w:rsidR="004A68B9">
              <w:rPr>
                <w:rFonts w:cs="Arial"/>
                <w:sz w:val="20"/>
              </w:rPr>
              <w:t xml:space="preserve">ational </w:t>
            </w:r>
            <w:r w:rsidRPr="004F34DE">
              <w:rPr>
                <w:rFonts w:cs="Arial"/>
                <w:sz w:val="20"/>
              </w:rPr>
              <w:t>F</w:t>
            </w:r>
            <w:r w:rsidR="004A68B9">
              <w:rPr>
                <w:rFonts w:cs="Arial"/>
                <w:sz w:val="20"/>
              </w:rPr>
              <w:t xml:space="preserve">raud </w:t>
            </w:r>
            <w:r w:rsidR="004A68B9" w:rsidRPr="004F34DE">
              <w:rPr>
                <w:rFonts w:cs="Arial"/>
                <w:sz w:val="20"/>
              </w:rPr>
              <w:t>I</w:t>
            </w:r>
            <w:r w:rsidR="004A68B9">
              <w:rPr>
                <w:rFonts w:cs="Arial"/>
                <w:sz w:val="20"/>
              </w:rPr>
              <w:t>nitiative (NFI)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A68B9" w:rsidRPr="004A68B9" w:rsidRDefault="004A68B9" w:rsidP="00AE6994">
            <w:pPr>
              <w:rPr>
                <w:rFonts w:cs="Arial"/>
                <w:color w:val="FF0000"/>
                <w:sz w:val="20"/>
              </w:rPr>
            </w:pPr>
            <w:r w:rsidRPr="004A68B9">
              <w:rPr>
                <w:sz w:val="20"/>
              </w:rPr>
              <w:t>The NFI is a data matching exercise, using sophisticated computer techniques which matches data within and between organisations to help detect fraud, overpayments and error.</w:t>
            </w:r>
          </w:p>
          <w:p w:rsidR="004A68B9" w:rsidRDefault="004A68B9" w:rsidP="00AE6994">
            <w:pPr>
              <w:rPr>
                <w:rFonts w:cs="Arial"/>
                <w:color w:val="FF0000"/>
                <w:sz w:val="20"/>
              </w:rPr>
            </w:pPr>
          </w:p>
          <w:p w:rsidR="00AE6994" w:rsidRDefault="004A68B9" w:rsidP="004A68B9">
            <w:pPr>
              <w:rPr>
                <w:rFonts w:cs="Arial"/>
                <w:sz w:val="20"/>
              </w:rPr>
            </w:pPr>
            <w:r w:rsidRPr="004A68B9">
              <w:rPr>
                <w:rFonts w:cs="Arial"/>
                <w:sz w:val="20"/>
              </w:rPr>
              <w:t xml:space="preserve">Internal Audit </w:t>
            </w:r>
            <w:r w:rsidR="00AE6994" w:rsidRPr="004A68B9">
              <w:rPr>
                <w:rFonts w:cs="Arial"/>
                <w:sz w:val="20"/>
              </w:rPr>
              <w:t>co-ordinate</w:t>
            </w:r>
            <w:r w:rsidRPr="004A68B9">
              <w:rPr>
                <w:rFonts w:cs="Arial"/>
                <w:sz w:val="20"/>
              </w:rPr>
              <w:t>d</w:t>
            </w:r>
            <w:r w:rsidR="00AE6994" w:rsidRPr="004A68B9">
              <w:rPr>
                <w:rFonts w:cs="Arial"/>
                <w:sz w:val="20"/>
              </w:rPr>
              <w:t xml:space="preserve"> the Council’s input to the 2016/17 </w:t>
            </w:r>
            <w:r w:rsidRPr="004A68B9">
              <w:rPr>
                <w:rFonts w:cs="Arial"/>
                <w:sz w:val="20"/>
              </w:rPr>
              <w:t xml:space="preserve">main </w:t>
            </w:r>
            <w:r w:rsidR="00AE6994" w:rsidRPr="004A68B9">
              <w:rPr>
                <w:rFonts w:cs="Arial"/>
                <w:sz w:val="20"/>
              </w:rPr>
              <w:t>exercise</w:t>
            </w:r>
            <w:r w:rsidRPr="004A68B9">
              <w:rPr>
                <w:rFonts w:cs="Arial"/>
                <w:sz w:val="20"/>
              </w:rPr>
              <w:t xml:space="preserve"> and the 17/18 Council Tax Single Person Discount / Electoral Register exercise</w:t>
            </w:r>
            <w:r w:rsidR="00AE6994" w:rsidRPr="004A68B9">
              <w:rPr>
                <w:rFonts w:cs="Arial"/>
                <w:sz w:val="20"/>
              </w:rPr>
              <w:t>.</w:t>
            </w:r>
          </w:p>
          <w:p w:rsidR="00C52A6A" w:rsidRPr="00457D3A" w:rsidRDefault="00C52A6A" w:rsidP="004A68B9">
            <w:pPr>
              <w:rPr>
                <w:rFonts w:cs="Arial"/>
                <w:color w:val="FF0000"/>
                <w:sz w:val="20"/>
              </w:rPr>
            </w:pPr>
          </w:p>
        </w:tc>
        <w:tc>
          <w:tcPr>
            <w:tcW w:w="2126" w:type="dxa"/>
            <w:shd w:val="clear" w:color="auto" w:fill="auto"/>
            <w:vAlign w:val="center"/>
          </w:tcPr>
          <w:p w:rsidR="00AE6994" w:rsidRPr="004A68B9" w:rsidRDefault="00AE6994" w:rsidP="00AE6994">
            <w:pPr>
              <w:ind w:right="141"/>
              <w:jc w:val="center"/>
              <w:rPr>
                <w:rFonts w:cs="Arial"/>
                <w:sz w:val="20"/>
              </w:rPr>
            </w:pPr>
            <w:r w:rsidRPr="004A68B9">
              <w:rPr>
                <w:rFonts w:cs="Arial"/>
                <w:sz w:val="20"/>
              </w:rPr>
              <w:t>Not applicable</w:t>
            </w:r>
          </w:p>
        </w:tc>
        <w:tc>
          <w:tcPr>
            <w:tcW w:w="5529" w:type="dxa"/>
            <w:shd w:val="clear" w:color="auto" w:fill="auto"/>
          </w:tcPr>
          <w:p w:rsidR="00AE6994" w:rsidRPr="00955035" w:rsidRDefault="00AE6994" w:rsidP="00AE6994">
            <w:pPr>
              <w:rPr>
                <w:sz w:val="20"/>
              </w:rPr>
            </w:pPr>
            <w:r w:rsidRPr="00955035">
              <w:rPr>
                <w:sz w:val="20"/>
              </w:rPr>
              <w:t>Investigations undertaken by the Revenues Section of the 2016/17 exercise are still on-going and to date have identified overpayments of housing benefit and council tax reduction scheme of £</w:t>
            </w:r>
            <w:r w:rsidR="00955035" w:rsidRPr="00955035">
              <w:rPr>
                <w:sz w:val="20"/>
              </w:rPr>
              <w:t>36, 350</w:t>
            </w:r>
            <w:r w:rsidRPr="00955035">
              <w:rPr>
                <w:sz w:val="20"/>
              </w:rPr>
              <w:t xml:space="preserve"> which is currently being recovered.</w:t>
            </w:r>
          </w:p>
          <w:p w:rsidR="00AE6994" w:rsidRPr="00955035" w:rsidRDefault="00AE6994" w:rsidP="00AE6994">
            <w:pPr>
              <w:rPr>
                <w:sz w:val="20"/>
              </w:rPr>
            </w:pPr>
          </w:p>
          <w:p w:rsidR="00AE6994" w:rsidRPr="00955035" w:rsidRDefault="00AE6994" w:rsidP="00AE6994">
            <w:pPr>
              <w:rPr>
                <w:sz w:val="20"/>
              </w:rPr>
            </w:pPr>
            <w:r w:rsidRPr="00955035">
              <w:rPr>
                <w:sz w:val="20"/>
              </w:rPr>
              <w:t xml:space="preserve">Data for the Council Tax (Single Person Discount) and the Electoral Register was submitted in December 2017, with 871 matches identified which are now being investigated. </w:t>
            </w:r>
          </w:p>
          <w:p w:rsidR="00AE6994" w:rsidRPr="00955035" w:rsidRDefault="00AE6994" w:rsidP="00AE6994"/>
        </w:tc>
      </w:tr>
      <w:tr w:rsidR="00AE6994" w:rsidRPr="004F34DE" w:rsidTr="00280995">
        <w:trPr>
          <w:trHeight w:val="979"/>
          <w:jc w:val="center"/>
        </w:trPr>
        <w:tc>
          <w:tcPr>
            <w:tcW w:w="2830" w:type="dxa"/>
            <w:tcBorders>
              <w:top w:val="single" w:sz="4" w:space="0" w:color="auto"/>
              <w:left w:val="single" w:sz="4" w:space="0" w:color="auto"/>
              <w:bottom w:val="single" w:sz="4" w:space="0" w:color="auto"/>
              <w:right w:val="nil"/>
            </w:tcBorders>
            <w:shd w:val="clear" w:color="auto" w:fill="auto"/>
            <w:vAlign w:val="center"/>
          </w:tcPr>
          <w:p w:rsidR="00AE6994" w:rsidRPr="004F34DE" w:rsidRDefault="00AE6994" w:rsidP="00AE6994">
            <w:pPr>
              <w:rPr>
                <w:rFonts w:cs="Arial"/>
                <w:sz w:val="20"/>
              </w:rPr>
            </w:pPr>
            <w:r w:rsidRPr="004F34DE">
              <w:rPr>
                <w:rFonts w:cs="Arial"/>
                <w:sz w:val="20"/>
              </w:rPr>
              <w:t xml:space="preserve">Performance </w:t>
            </w:r>
            <w:r>
              <w:rPr>
                <w:rFonts w:cs="Arial"/>
                <w:sz w:val="20"/>
              </w:rPr>
              <w:t>Management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E6994" w:rsidRPr="00AE6994" w:rsidRDefault="00AE6994" w:rsidP="00AE6994">
            <w:pPr>
              <w:autoSpaceDE w:val="0"/>
              <w:autoSpaceDN w:val="0"/>
              <w:adjustRightInd w:val="0"/>
              <w:rPr>
                <w:rFonts w:cs="Arial"/>
                <w:sz w:val="20"/>
                <w:lang w:eastAsia="en-US"/>
              </w:rPr>
            </w:pPr>
            <w:r w:rsidRPr="00AE6994">
              <w:rPr>
                <w:rFonts w:cs="Arial"/>
                <w:sz w:val="20"/>
              </w:rPr>
              <w:t>The availability of complete, accurate and timely data is important in supporting customer care, corporate governance, management, decision-making, service planning, accountability and transparency</w:t>
            </w:r>
          </w:p>
          <w:p w:rsidR="00AE6994" w:rsidRDefault="00AE6994" w:rsidP="00AE6994">
            <w:pPr>
              <w:autoSpaceDE w:val="0"/>
              <w:autoSpaceDN w:val="0"/>
              <w:adjustRightInd w:val="0"/>
              <w:rPr>
                <w:rFonts w:cs="Arial"/>
                <w:sz w:val="20"/>
                <w:lang w:eastAsia="en-US"/>
              </w:rPr>
            </w:pPr>
            <w:r>
              <w:rPr>
                <w:rFonts w:cs="Arial"/>
                <w:sz w:val="20"/>
                <w:lang w:eastAsia="en-US"/>
              </w:rPr>
              <w:t>During 2017/18 we have been members of the project team to enhance the Council’s overall arrangements.</w:t>
            </w:r>
          </w:p>
          <w:p w:rsidR="00AE6994" w:rsidRDefault="00AE6994" w:rsidP="00AE6994">
            <w:pPr>
              <w:autoSpaceDE w:val="0"/>
              <w:autoSpaceDN w:val="0"/>
              <w:adjustRightInd w:val="0"/>
              <w:rPr>
                <w:rFonts w:cs="Arial"/>
                <w:sz w:val="20"/>
                <w:lang w:eastAsia="en-US"/>
              </w:rPr>
            </w:pPr>
          </w:p>
          <w:p w:rsidR="00AE6994" w:rsidRDefault="00AE6994" w:rsidP="00AE6994">
            <w:pPr>
              <w:autoSpaceDE w:val="0"/>
              <w:autoSpaceDN w:val="0"/>
              <w:adjustRightInd w:val="0"/>
              <w:rPr>
                <w:rFonts w:cs="Arial"/>
                <w:sz w:val="20"/>
                <w:lang w:eastAsia="en-US"/>
              </w:rPr>
            </w:pPr>
            <w:r>
              <w:rPr>
                <w:rFonts w:cs="Arial"/>
                <w:sz w:val="20"/>
                <w:lang w:eastAsia="en-US"/>
              </w:rPr>
              <w:t xml:space="preserve">In addition </w:t>
            </w:r>
            <w:r w:rsidRPr="004F34DE">
              <w:rPr>
                <w:rFonts w:cs="Arial"/>
                <w:sz w:val="20"/>
                <w:lang w:eastAsia="en-US"/>
              </w:rPr>
              <w:t>checks</w:t>
            </w:r>
            <w:r>
              <w:rPr>
                <w:rFonts w:cs="Arial"/>
                <w:sz w:val="20"/>
                <w:lang w:eastAsia="en-US"/>
              </w:rPr>
              <w:t xml:space="preserve"> were undertaken on a sample of reported performance </w:t>
            </w:r>
            <w:r w:rsidR="00391D21">
              <w:rPr>
                <w:rFonts w:cs="Arial"/>
                <w:sz w:val="20"/>
                <w:lang w:eastAsia="en-US"/>
              </w:rPr>
              <w:t xml:space="preserve">indicators </w:t>
            </w:r>
            <w:r w:rsidR="00391D21" w:rsidRPr="004F34DE">
              <w:rPr>
                <w:rFonts w:cs="Arial"/>
                <w:sz w:val="20"/>
                <w:lang w:eastAsia="en-US"/>
              </w:rPr>
              <w:t>to</w:t>
            </w:r>
            <w:r w:rsidRPr="004F34DE">
              <w:rPr>
                <w:rFonts w:cs="Arial"/>
                <w:sz w:val="20"/>
                <w:lang w:eastAsia="en-US"/>
              </w:rPr>
              <w:t xml:space="preserve"> ensure compliance with th</w:t>
            </w:r>
            <w:r w:rsidR="00642C5F">
              <w:rPr>
                <w:rFonts w:cs="Arial"/>
                <w:sz w:val="20"/>
                <w:lang w:eastAsia="en-US"/>
              </w:rPr>
              <w:t>e Council’s Data Quality Policy.</w:t>
            </w:r>
          </w:p>
          <w:p w:rsidR="00AE6994" w:rsidRPr="004F34DE" w:rsidRDefault="00AE6994" w:rsidP="00AE6994">
            <w:pPr>
              <w:autoSpaceDE w:val="0"/>
              <w:autoSpaceDN w:val="0"/>
              <w:adjustRightInd w:val="0"/>
              <w:rPr>
                <w:rFonts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AE6994" w:rsidRPr="004F34DE" w:rsidRDefault="00AE6994" w:rsidP="00AE6994">
            <w:pPr>
              <w:ind w:right="141"/>
              <w:jc w:val="center"/>
              <w:rPr>
                <w:rFonts w:cs="Arial"/>
                <w:color w:val="FF0000"/>
                <w:sz w:val="20"/>
              </w:rPr>
            </w:pPr>
            <w:r w:rsidRPr="00851200">
              <w:rPr>
                <w:rFonts w:cs="Arial"/>
                <w:b/>
                <w:sz w:val="20"/>
              </w:rPr>
              <w:t>Amber (8) Substantial</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46728" w:rsidRPr="004F34DE" w:rsidRDefault="00146728" w:rsidP="00AE6994">
            <w:pPr>
              <w:rPr>
                <w:rFonts w:cs="Arial"/>
                <w:color w:val="FF0000"/>
                <w:sz w:val="20"/>
              </w:rPr>
            </w:pPr>
            <w:r w:rsidRPr="00D35F86">
              <w:rPr>
                <w:rFonts w:cs="Arial"/>
                <w:sz w:val="20"/>
              </w:rPr>
              <w:t>No significant control weaknesses were identified</w:t>
            </w:r>
            <w:r>
              <w:rPr>
                <w:rFonts w:cs="Arial"/>
                <w:sz w:val="20"/>
              </w:rPr>
              <w:t>, however the Data Qualtiy Policy should now be updated to reflect the current organisational structure.</w:t>
            </w:r>
          </w:p>
        </w:tc>
      </w:tr>
      <w:tr w:rsidR="00AE6994" w:rsidRPr="004F34DE" w:rsidTr="00280995">
        <w:trPr>
          <w:trHeight w:val="700"/>
          <w:jc w:val="center"/>
        </w:trPr>
        <w:tc>
          <w:tcPr>
            <w:tcW w:w="2830" w:type="dxa"/>
            <w:tcBorders>
              <w:top w:val="single" w:sz="4" w:space="0" w:color="auto"/>
            </w:tcBorders>
            <w:shd w:val="clear" w:color="auto" w:fill="auto"/>
            <w:vAlign w:val="center"/>
          </w:tcPr>
          <w:p w:rsidR="00AE6994" w:rsidRPr="004F34DE" w:rsidRDefault="00AE6994" w:rsidP="00AE6994">
            <w:pPr>
              <w:rPr>
                <w:rFonts w:cs="Arial"/>
                <w:sz w:val="20"/>
              </w:rPr>
            </w:pPr>
            <w:r>
              <w:rPr>
                <w:rFonts w:cs="Arial"/>
                <w:sz w:val="20"/>
              </w:rPr>
              <w:t>Project Management</w:t>
            </w:r>
          </w:p>
        </w:tc>
        <w:tc>
          <w:tcPr>
            <w:tcW w:w="5245" w:type="dxa"/>
            <w:shd w:val="clear" w:color="auto" w:fill="auto"/>
          </w:tcPr>
          <w:p w:rsidR="00AE6994" w:rsidRPr="004F34DE" w:rsidRDefault="00AE6994" w:rsidP="00AE6994">
            <w:pPr>
              <w:rPr>
                <w:rFonts w:cs="Arial"/>
                <w:sz w:val="20"/>
              </w:rPr>
            </w:pPr>
            <w:r>
              <w:rPr>
                <w:rFonts w:cs="Arial"/>
                <w:sz w:val="20"/>
              </w:rPr>
              <w:t>To support the revision of the Council’s Project Management Framework</w:t>
            </w:r>
          </w:p>
        </w:tc>
        <w:tc>
          <w:tcPr>
            <w:tcW w:w="2126" w:type="dxa"/>
            <w:shd w:val="clear" w:color="auto" w:fill="FFFFFF" w:themeFill="background1"/>
            <w:vAlign w:val="center"/>
          </w:tcPr>
          <w:p w:rsidR="00AE6994" w:rsidRPr="004F34DE" w:rsidRDefault="00AE6994" w:rsidP="00AE6994">
            <w:pPr>
              <w:ind w:right="141"/>
              <w:jc w:val="center"/>
              <w:rPr>
                <w:rFonts w:cs="Arial"/>
                <w:b/>
                <w:color w:val="000000"/>
                <w:sz w:val="20"/>
              </w:rPr>
            </w:pPr>
            <w:r w:rsidRPr="004F34DE">
              <w:rPr>
                <w:rFonts w:cs="Arial"/>
                <w:color w:val="000000"/>
                <w:sz w:val="20"/>
              </w:rPr>
              <w:t>Not applicable</w:t>
            </w:r>
          </w:p>
        </w:tc>
        <w:tc>
          <w:tcPr>
            <w:tcW w:w="5529" w:type="dxa"/>
            <w:shd w:val="clear" w:color="auto" w:fill="auto"/>
          </w:tcPr>
          <w:p w:rsidR="00AE6994" w:rsidRDefault="00AE6994" w:rsidP="00AE6994">
            <w:pPr>
              <w:ind w:left="-18"/>
              <w:rPr>
                <w:rFonts w:cs="Arial"/>
                <w:color w:val="000000"/>
                <w:sz w:val="20"/>
              </w:rPr>
            </w:pPr>
          </w:p>
          <w:p w:rsidR="00AE6994" w:rsidRPr="004F34DE" w:rsidRDefault="00AE6994" w:rsidP="00AE6994">
            <w:pPr>
              <w:ind w:left="-18"/>
              <w:rPr>
                <w:rFonts w:cs="Arial"/>
                <w:sz w:val="20"/>
              </w:rPr>
            </w:pPr>
            <w:r w:rsidRPr="004F34DE">
              <w:rPr>
                <w:rFonts w:cs="Arial"/>
                <w:color w:val="000000"/>
                <w:sz w:val="20"/>
              </w:rPr>
              <w:t>Proactive input provided rather than an audit / review</w:t>
            </w:r>
          </w:p>
        </w:tc>
      </w:tr>
      <w:tr w:rsidR="00AE6994" w:rsidRPr="004F34DE" w:rsidTr="00280995">
        <w:trPr>
          <w:trHeight w:val="2694"/>
          <w:jc w:val="center"/>
        </w:trPr>
        <w:tc>
          <w:tcPr>
            <w:tcW w:w="2830" w:type="dxa"/>
            <w:tcBorders>
              <w:top w:val="single" w:sz="4" w:space="0" w:color="auto"/>
            </w:tcBorders>
            <w:shd w:val="clear" w:color="auto" w:fill="auto"/>
            <w:vAlign w:val="center"/>
          </w:tcPr>
          <w:p w:rsidR="00AE6994" w:rsidRPr="004F34DE" w:rsidRDefault="00AE6994" w:rsidP="00AE6994">
            <w:pPr>
              <w:rPr>
                <w:rFonts w:cs="Arial"/>
                <w:sz w:val="20"/>
              </w:rPr>
            </w:pPr>
            <w:r>
              <w:rPr>
                <w:rFonts w:cs="Arial"/>
                <w:sz w:val="20"/>
              </w:rPr>
              <w:t>Recruitment &amp; Selection</w:t>
            </w:r>
          </w:p>
        </w:tc>
        <w:tc>
          <w:tcPr>
            <w:tcW w:w="5245" w:type="dxa"/>
            <w:shd w:val="clear" w:color="auto" w:fill="auto"/>
          </w:tcPr>
          <w:p w:rsidR="00AE6994" w:rsidRDefault="00AE6994" w:rsidP="00AE6994">
            <w:pPr>
              <w:ind w:left="34" w:firstLine="23"/>
              <w:rPr>
                <w:rFonts w:cs="Arial"/>
                <w:sz w:val="20"/>
              </w:rPr>
            </w:pPr>
            <w:r w:rsidRPr="00E3152B">
              <w:rPr>
                <w:rFonts w:cs="Arial"/>
                <w:sz w:val="20"/>
              </w:rPr>
              <w:t>The objective of effective recruitment and selection is to acquire the right number of people with the right skills, experience and competencies in the right jobs at the right time. Recruitment should take place in context of a manpower plan that looks at staffing requirements based upon strategic objectives and development plans.</w:t>
            </w:r>
          </w:p>
          <w:p w:rsidR="00AE6994" w:rsidRDefault="00AE6994" w:rsidP="00AE6994">
            <w:pPr>
              <w:ind w:left="34" w:firstLine="23"/>
              <w:rPr>
                <w:rFonts w:cs="Arial"/>
                <w:sz w:val="20"/>
              </w:rPr>
            </w:pPr>
          </w:p>
          <w:p w:rsidR="00AE6994" w:rsidRPr="004F34DE" w:rsidRDefault="00AE6994" w:rsidP="00C52A6A">
            <w:pPr>
              <w:rPr>
                <w:rFonts w:cs="Arial"/>
                <w:sz w:val="20"/>
              </w:rPr>
            </w:pPr>
            <w:r w:rsidRPr="00E3152B">
              <w:rPr>
                <w:rFonts w:cs="Arial"/>
                <w:sz w:val="20"/>
              </w:rPr>
              <w:t xml:space="preserve">The objective of the audit is to provide assurance or otherwise on the adequacy and effectiveness of the key controls implemented by management to ensure that the identified risks are being sufficiently managed.  </w:t>
            </w:r>
          </w:p>
        </w:tc>
        <w:tc>
          <w:tcPr>
            <w:tcW w:w="2126" w:type="dxa"/>
            <w:shd w:val="clear" w:color="auto" w:fill="FFC000"/>
            <w:vAlign w:val="center"/>
          </w:tcPr>
          <w:p w:rsidR="00AE6994" w:rsidRPr="004F34DE" w:rsidRDefault="00AE6994" w:rsidP="00AE6994">
            <w:pPr>
              <w:ind w:right="141"/>
              <w:jc w:val="center"/>
              <w:rPr>
                <w:rFonts w:cs="Arial"/>
                <w:b/>
                <w:color w:val="000000"/>
                <w:sz w:val="20"/>
              </w:rPr>
            </w:pPr>
            <w:r w:rsidRPr="00851200">
              <w:rPr>
                <w:rFonts w:cs="Arial"/>
                <w:b/>
                <w:sz w:val="20"/>
              </w:rPr>
              <w:t>Amber (6) Substantial</w:t>
            </w:r>
          </w:p>
        </w:tc>
        <w:tc>
          <w:tcPr>
            <w:tcW w:w="5529" w:type="dxa"/>
            <w:shd w:val="clear" w:color="auto" w:fill="auto"/>
          </w:tcPr>
          <w:p w:rsidR="00AE6994" w:rsidRPr="00E3152B" w:rsidRDefault="00AE6994" w:rsidP="00AE6994">
            <w:pPr>
              <w:pStyle w:val="ListParagraph"/>
              <w:ind w:left="0"/>
              <w:rPr>
                <w:rFonts w:ascii="Arial" w:hAnsi="Arial" w:cs="Arial"/>
                <w:sz w:val="20"/>
                <w:szCs w:val="20"/>
              </w:rPr>
            </w:pPr>
            <w:r w:rsidRPr="00E3152B">
              <w:rPr>
                <w:rFonts w:ascii="Arial" w:hAnsi="Arial" w:cs="Arial"/>
                <w:sz w:val="20"/>
                <w:szCs w:val="20"/>
              </w:rPr>
              <w:t xml:space="preserve">Whilst we are able to provide assurance that the majority of the risks associated with Recruitment and Selection are being effectively managed, there are some minor control weaknesses which need to be addressed in order to further strengthen the systems in place, these are summarised below:  </w:t>
            </w:r>
          </w:p>
          <w:p w:rsidR="00AE6994" w:rsidRPr="00E3152B" w:rsidRDefault="00AE6994" w:rsidP="00AE6994">
            <w:pPr>
              <w:pStyle w:val="ListParagraph"/>
              <w:numPr>
                <w:ilvl w:val="0"/>
                <w:numId w:val="21"/>
              </w:numPr>
              <w:spacing w:after="0" w:line="240" w:lineRule="auto"/>
              <w:rPr>
                <w:rFonts w:ascii="Arial" w:hAnsi="Arial" w:cs="Arial"/>
                <w:sz w:val="20"/>
                <w:szCs w:val="20"/>
              </w:rPr>
            </w:pPr>
            <w:r w:rsidRPr="00E3152B">
              <w:rPr>
                <w:rFonts w:ascii="Arial" w:hAnsi="Arial" w:cs="Arial"/>
                <w:sz w:val="20"/>
                <w:szCs w:val="20"/>
              </w:rPr>
              <w:t>The recruitment and selection code of practice has not been reviewed and updated since 2012 in addition the code of practice does not include the new ‘co-designed’ recruitment process;</w:t>
            </w:r>
          </w:p>
          <w:p w:rsidR="00AE6994" w:rsidRPr="00E3152B" w:rsidRDefault="00AE6994" w:rsidP="00AE6994">
            <w:pPr>
              <w:pStyle w:val="ListParagraph"/>
              <w:numPr>
                <w:ilvl w:val="0"/>
                <w:numId w:val="21"/>
              </w:numPr>
              <w:spacing w:after="0" w:line="240" w:lineRule="auto"/>
              <w:rPr>
                <w:rFonts w:ascii="Arial" w:hAnsi="Arial" w:cs="Arial"/>
                <w:sz w:val="20"/>
                <w:szCs w:val="20"/>
              </w:rPr>
            </w:pPr>
            <w:r w:rsidRPr="00E3152B">
              <w:rPr>
                <w:rFonts w:ascii="Arial" w:hAnsi="Arial" w:cs="Arial"/>
                <w:sz w:val="20"/>
                <w:szCs w:val="20"/>
              </w:rPr>
              <w:t>Not all Officers involved in recruitment and selection have received the appropriate training;</w:t>
            </w:r>
          </w:p>
          <w:p w:rsidR="00AE6994" w:rsidRPr="004F34DE" w:rsidRDefault="00AE6994" w:rsidP="00AE6994">
            <w:pPr>
              <w:ind w:left="-18"/>
              <w:rPr>
                <w:rFonts w:cs="Arial"/>
                <w:sz w:val="20"/>
              </w:rPr>
            </w:pPr>
          </w:p>
        </w:tc>
      </w:tr>
      <w:tr w:rsidR="00AE6994" w:rsidRPr="004F34DE" w:rsidTr="00280995">
        <w:trPr>
          <w:trHeight w:val="684"/>
          <w:jc w:val="center"/>
        </w:trPr>
        <w:tc>
          <w:tcPr>
            <w:tcW w:w="2830" w:type="dxa"/>
            <w:tcBorders>
              <w:top w:val="single" w:sz="4" w:space="0" w:color="auto"/>
            </w:tcBorders>
            <w:shd w:val="clear" w:color="auto" w:fill="auto"/>
            <w:vAlign w:val="center"/>
          </w:tcPr>
          <w:p w:rsidR="00AE6994" w:rsidRPr="004F34DE" w:rsidRDefault="00AE6994" w:rsidP="00AE6994">
            <w:pPr>
              <w:rPr>
                <w:rFonts w:cs="Arial"/>
                <w:sz w:val="20"/>
              </w:rPr>
            </w:pPr>
            <w:r w:rsidRPr="004F34DE">
              <w:rPr>
                <w:rFonts w:cs="Arial"/>
                <w:sz w:val="20"/>
              </w:rPr>
              <w:t>City Deal</w:t>
            </w:r>
          </w:p>
        </w:tc>
        <w:tc>
          <w:tcPr>
            <w:tcW w:w="5245" w:type="dxa"/>
            <w:shd w:val="clear" w:color="auto" w:fill="auto"/>
          </w:tcPr>
          <w:p w:rsidR="00AE6994" w:rsidRPr="00C562EA" w:rsidRDefault="00AE6994" w:rsidP="00AE6994">
            <w:pPr>
              <w:rPr>
                <w:rFonts w:cs="Arial"/>
                <w:sz w:val="20"/>
              </w:rPr>
            </w:pPr>
            <w:r>
              <w:rPr>
                <w:sz w:val="20"/>
              </w:rPr>
              <w:t>M</w:t>
            </w:r>
            <w:r w:rsidRPr="00C562EA">
              <w:rPr>
                <w:sz w:val="20"/>
              </w:rPr>
              <w:t>ember</w:t>
            </w:r>
            <w:r>
              <w:rPr>
                <w:sz w:val="20"/>
              </w:rPr>
              <w:t xml:space="preserve">s </w:t>
            </w:r>
            <w:r w:rsidRPr="00C562EA">
              <w:rPr>
                <w:sz w:val="20"/>
              </w:rPr>
              <w:t>of the project team to provide advice and guidance on governance, control and risk.</w:t>
            </w:r>
          </w:p>
        </w:tc>
        <w:tc>
          <w:tcPr>
            <w:tcW w:w="2126" w:type="dxa"/>
            <w:shd w:val="clear" w:color="auto" w:fill="auto"/>
            <w:vAlign w:val="center"/>
          </w:tcPr>
          <w:p w:rsidR="00AE6994" w:rsidRPr="004F34DE" w:rsidRDefault="00AE6994" w:rsidP="00AE6994">
            <w:pPr>
              <w:ind w:right="141"/>
              <w:jc w:val="center"/>
              <w:rPr>
                <w:rFonts w:cs="Arial"/>
                <w:b/>
                <w:color w:val="000000"/>
                <w:sz w:val="20"/>
              </w:rPr>
            </w:pPr>
            <w:r w:rsidRPr="004F34DE">
              <w:rPr>
                <w:rFonts w:cs="Arial"/>
                <w:color w:val="000000"/>
                <w:sz w:val="20"/>
              </w:rPr>
              <w:t>Not applicable</w:t>
            </w:r>
          </w:p>
        </w:tc>
        <w:tc>
          <w:tcPr>
            <w:tcW w:w="5529" w:type="dxa"/>
            <w:shd w:val="clear" w:color="auto" w:fill="auto"/>
          </w:tcPr>
          <w:p w:rsidR="00AE6994" w:rsidRDefault="00AE6994" w:rsidP="00AE6994">
            <w:pPr>
              <w:ind w:left="-18"/>
              <w:rPr>
                <w:rFonts w:cs="Arial"/>
                <w:color w:val="000000"/>
                <w:sz w:val="20"/>
              </w:rPr>
            </w:pPr>
          </w:p>
          <w:p w:rsidR="00AE6994" w:rsidRPr="004F34DE" w:rsidRDefault="00AE6994" w:rsidP="00AE6994">
            <w:pPr>
              <w:ind w:left="-18"/>
              <w:rPr>
                <w:rFonts w:cs="Arial"/>
                <w:sz w:val="20"/>
              </w:rPr>
            </w:pPr>
            <w:r w:rsidRPr="004F34DE">
              <w:rPr>
                <w:rFonts w:cs="Arial"/>
                <w:color w:val="000000"/>
                <w:sz w:val="20"/>
              </w:rPr>
              <w:t>Proactive input provided rather than an audit / review</w:t>
            </w:r>
          </w:p>
        </w:tc>
      </w:tr>
      <w:tr w:rsidR="00AE6994" w:rsidRPr="004F34DE" w:rsidTr="00280995">
        <w:trPr>
          <w:trHeight w:val="693"/>
          <w:jc w:val="center"/>
        </w:trPr>
        <w:tc>
          <w:tcPr>
            <w:tcW w:w="2830" w:type="dxa"/>
            <w:tcBorders>
              <w:top w:val="single" w:sz="4" w:space="0" w:color="auto"/>
            </w:tcBorders>
            <w:shd w:val="clear" w:color="auto" w:fill="auto"/>
            <w:vAlign w:val="center"/>
          </w:tcPr>
          <w:p w:rsidR="00AE6994" w:rsidRPr="004F34DE" w:rsidRDefault="00AE6994" w:rsidP="00AE6994">
            <w:pPr>
              <w:rPr>
                <w:rFonts w:cs="Arial"/>
                <w:sz w:val="20"/>
              </w:rPr>
            </w:pPr>
            <w:r w:rsidRPr="004F34DE">
              <w:rPr>
                <w:rFonts w:cs="Arial"/>
                <w:sz w:val="20"/>
              </w:rPr>
              <w:t>Housing Capital Working Group</w:t>
            </w:r>
          </w:p>
        </w:tc>
        <w:tc>
          <w:tcPr>
            <w:tcW w:w="5245" w:type="dxa"/>
            <w:shd w:val="clear" w:color="auto" w:fill="auto"/>
          </w:tcPr>
          <w:p w:rsidR="00AE6994" w:rsidRPr="004F34DE" w:rsidRDefault="004A68B9" w:rsidP="004A68B9">
            <w:pPr>
              <w:rPr>
                <w:rFonts w:cs="Arial"/>
                <w:sz w:val="20"/>
              </w:rPr>
            </w:pPr>
            <w:r>
              <w:rPr>
                <w:rFonts w:cs="Arial"/>
                <w:sz w:val="20"/>
              </w:rPr>
              <w:t>Members of the p</w:t>
            </w:r>
            <w:r w:rsidR="00AE6994" w:rsidRPr="004F34DE">
              <w:rPr>
                <w:rFonts w:cs="Arial"/>
                <w:sz w:val="20"/>
              </w:rPr>
              <w:t xml:space="preserve">roject </w:t>
            </w:r>
            <w:r>
              <w:rPr>
                <w:rFonts w:cs="Arial"/>
                <w:sz w:val="20"/>
              </w:rPr>
              <w:t>t</w:t>
            </w:r>
            <w:r w:rsidR="00AE6994" w:rsidRPr="004F34DE">
              <w:rPr>
                <w:rFonts w:cs="Arial"/>
                <w:sz w:val="20"/>
              </w:rPr>
              <w:t>eam for the development of Strategic Housing Policies.</w:t>
            </w:r>
          </w:p>
        </w:tc>
        <w:tc>
          <w:tcPr>
            <w:tcW w:w="2126" w:type="dxa"/>
            <w:shd w:val="clear" w:color="auto" w:fill="auto"/>
            <w:vAlign w:val="center"/>
          </w:tcPr>
          <w:p w:rsidR="00AE6994" w:rsidRPr="004F34DE" w:rsidRDefault="00AE6994" w:rsidP="00AE6994">
            <w:pPr>
              <w:ind w:right="141"/>
              <w:jc w:val="center"/>
              <w:rPr>
                <w:rFonts w:cs="Arial"/>
                <w:b/>
                <w:color w:val="000000"/>
                <w:sz w:val="20"/>
              </w:rPr>
            </w:pPr>
            <w:r w:rsidRPr="004F34DE">
              <w:rPr>
                <w:rFonts w:cs="Arial"/>
                <w:color w:val="000000"/>
                <w:sz w:val="20"/>
              </w:rPr>
              <w:t>Not applicable</w:t>
            </w:r>
          </w:p>
        </w:tc>
        <w:tc>
          <w:tcPr>
            <w:tcW w:w="5529" w:type="dxa"/>
            <w:shd w:val="clear" w:color="auto" w:fill="auto"/>
          </w:tcPr>
          <w:p w:rsidR="00AE6994" w:rsidRDefault="00AE6994" w:rsidP="00AE6994">
            <w:pPr>
              <w:ind w:left="-18"/>
              <w:rPr>
                <w:rFonts w:cs="Arial"/>
                <w:color w:val="000000"/>
                <w:sz w:val="20"/>
              </w:rPr>
            </w:pPr>
          </w:p>
          <w:p w:rsidR="00AE6994" w:rsidRPr="004F34DE" w:rsidRDefault="00AE6994" w:rsidP="00AE6994">
            <w:pPr>
              <w:ind w:left="-18"/>
              <w:rPr>
                <w:rFonts w:cs="Arial"/>
                <w:sz w:val="20"/>
              </w:rPr>
            </w:pPr>
            <w:r w:rsidRPr="004F34DE">
              <w:rPr>
                <w:rFonts w:cs="Arial"/>
                <w:color w:val="000000"/>
                <w:sz w:val="20"/>
              </w:rPr>
              <w:t>Proactive input provided rather than an audit / review</w:t>
            </w:r>
          </w:p>
        </w:tc>
      </w:tr>
      <w:tr w:rsidR="00AE6994" w:rsidRPr="004F34DE" w:rsidTr="00280995">
        <w:trPr>
          <w:trHeight w:val="1017"/>
          <w:jc w:val="center"/>
        </w:trPr>
        <w:tc>
          <w:tcPr>
            <w:tcW w:w="2830" w:type="dxa"/>
            <w:tcBorders>
              <w:top w:val="single" w:sz="4" w:space="0" w:color="auto"/>
            </w:tcBorders>
            <w:shd w:val="clear" w:color="auto" w:fill="auto"/>
            <w:vAlign w:val="center"/>
          </w:tcPr>
          <w:p w:rsidR="00AE6994" w:rsidRPr="004F34DE" w:rsidRDefault="00AE6994" w:rsidP="00AE6994">
            <w:pPr>
              <w:rPr>
                <w:rFonts w:cs="Arial"/>
                <w:sz w:val="20"/>
              </w:rPr>
            </w:pPr>
            <w:r>
              <w:rPr>
                <w:rFonts w:cs="Arial"/>
                <w:sz w:val="20"/>
              </w:rPr>
              <w:t>Private Sector Housing Grants</w:t>
            </w:r>
          </w:p>
        </w:tc>
        <w:tc>
          <w:tcPr>
            <w:tcW w:w="5245" w:type="dxa"/>
            <w:shd w:val="clear" w:color="auto" w:fill="auto"/>
          </w:tcPr>
          <w:p w:rsidR="00AE6994" w:rsidRPr="00C562EA" w:rsidRDefault="00AE6994" w:rsidP="00AE6994">
            <w:pPr>
              <w:rPr>
                <w:sz w:val="20"/>
              </w:rPr>
            </w:pPr>
            <w:r w:rsidRPr="00C562EA">
              <w:rPr>
                <w:sz w:val="20"/>
              </w:rPr>
              <w:t xml:space="preserve">The Council is a statutory Strategic Housing Authority and therefore it has the responsibility for ensuring all housing in the Borough, irrespective of tenure, meets the requirements of the Housing Act 2004 and other relevant legislation. </w:t>
            </w:r>
          </w:p>
          <w:p w:rsidR="00AE6994" w:rsidRPr="00C562EA" w:rsidRDefault="00AE6994" w:rsidP="00AE6994">
            <w:pPr>
              <w:rPr>
                <w:sz w:val="20"/>
              </w:rPr>
            </w:pPr>
          </w:p>
          <w:p w:rsidR="00AE6994" w:rsidRDefault="00AE6994" w:rsidP="00AE6994">
            <w:pPr>
              <w:rPr>
                <w:sz w:val="20"/>
              </w:rPr>
            </w:pPr>
            <w:r w:rsidRPr="00C562EA">
              <w:rPr>
                <w:sz w:val="20"/>
              </w:rPr>
              <w:t>The Housing Assistance Policy provides guidance on how the Council will discharge its duties.  This includes the provision of advice and guidance to householders. Grant funding is also available to improve properties energy efficiency and dealing with category 1 hazards as defined in the Housing Act 2004.</w:t>
            </w:r>
            <w:r>
              <w:rPr>
                <w:sz w:val="20"/>
              </w:rPr>
              <w:t xml:space="preserve">  </w:t>
            </w:r>
            <w:r w:rsidRPr="00C562EA">
              <w:rPr>
                <w:sz w:val="20"/>
              </w:rPr>
              <w:t>Expenditure of £500k over a three year perio</w:t>
            </w:r>
            <w:r>
              <w:rPr>
                <w:sz w:val="20"/>
              </w:rPr>
              <w:t>d is anticipated.</w:t>
            </w:r>
          </w:p>
          <w:p w:rsidR="00AE6994" w:rsidRDefault="00AE6994" w:rsidP="00AE6994">
            <w:pPr>
              <w:rPr>
                <w:sz w:val="20"/>
              </w:rPr>
            </w:pPr>
          </w:p>
          <w:p w:rsidR="00AE6994" w:rsidRPr="00E3152B" w:rsidRDefault="00AE6994" w:rsidP="00642C5F">
            <w:pPr>
              <w:rPr>
                <w:rFonts w:cs="Arial"/>
                <w:sz w:val="20"/>
              </w:rPr>
            </w:pPr>
            <w:r w:rsidRPr="00E3152B">
              <w:rPr>
                <w:rFonts w:cs="Arial"/>
                <w:sz w:val="20"/>
              </w:rPr>
              <w:t xml:space="preserve">The objective of the audit </w:t>
            </w:r>
            <w:r w:rsidR="00E658CC">
              <w:rPr>
                <w:rFonts w:cs="Arial"/>
                <w:sz w:val="20"/>
              </w:rPr>
              <w:t>was</w:t>
            </w:r>
            <w:r w:rsidRPr="00E3152B">
              <w:rPr>
                <w:rFonts w:cs="Arial"/>
                <w:sz w:val="20"/>
              </w:rPr>
              <w:t xml:space="preserve"> to provide assurance or otherwise on the adequacy and effectiveness of the key controls implemented by management to ensure that the identified risks are being sufficiently managed.  </w:t>
            </w:r>
          </w:p>
          <w:p w:rsidR="00AE6994" w:rsidRPr="004F34DE" w:rsidRDefault="00AE6994" w:rsidP="00AE6994">
            <w:pPr>
              <w:rPr>
                <w:rFonts w:cs="Arial"/>
                <w:sz w:val="20"/>
              </w:rPr>
            </w:pPr>
          </w:p>
        </w:tc>
        <w:tc>
          <w:tcPr>
            <w:tcW w:w="2126" w:type="dxa"/>
            <w:shd w:val="clear" w:color="auto" w:fill="FFC000"/>
            <w:vAlign w:val="center"/>
          </w:tcPr>
          <w:p w:rsidR="00AE6994" w:rsidRPr="004F34DE" w:rsidRDefault="00AE6994" w:rsidP="00AE6994">
            <w:pPr>
              <w:ind w:right="141"/>
              <w:jc w:val="center"/>
              <w:rPr>
                <w:rFonts w:cs="Arial"/>
                <w:b/>
                <w:color w:val="000000"/>
                <w:sz w:val="20"/>
              </w:rPr>
            </w:pPr>
            <w:r>
              <w:rPr>
                <w:rFonts w:cs="Arial"/>
                <w:b/>
                <w:color w:val="000000"/>
                <w:sz w:val="20"/>
              </w:rPr>
              <w:t>Amber (6) Substantial</w:t>
            </w:r>
          </w:p>
        </w:tc>
        <w:tc>
          <w:tcPr>
            <w:tcW w:w="5529" w:type="dxa"/>
            <w:shd w:val="clear" w:color="auto" w:fill="auto"/>
          </w:tcPr>
          <w:p w:rsidR="00AE6994" w:rsidRPr="00F96CEB" w:rsidRDefault="00AE6994" w:rsidP="00AE6994">
            <w:pPr>
              <w:pStyle w:val="ListParagraph"/>
              <w:ind w:left="0"/>
              <w:rPr>
                <w:color w:val="FF0000"/>
              </w:rPr>
            </w:pPr>
            <w:r w:rsidRPr="0010088B">
              <w:rPr>
                <w:rFonts w:ascii="Arial" w:hAnsi="Arial" w:cs="Arial"/>
                <w:sz w:val="20"/>
                <w:szCs w:val="20"/>
              </w:rPr>
              <w:t>Whilst we are able to provide assurance that the risks associated with Private Sector Housing Grants are being effectively managed, the Housing Assistance Policy requires slightly amending to provide clarity to officers</w:t>
            </w:r>
            <w:r>
              <w:t xml:space="preserve">.  </w:t>
            </w:r>
          </w:p>
          <w:p w:rsidR="00AE6994" w:rsidRPr="004F34DE" w:rsidRDefault="00AE6994" w:rsidP="00AE6994">
            <w:pPr>
              <w:ind w:left="-18"/>
              <w:rPr>
                <w:rFonts w:cs="Arial"/>
                <w:sz w:val="20"/>
              </w:rPr>
            </w:pPr>
          </w:p>
        </w:tc>
      </w:tr>
      <w:tr w:rsidR="00AE6994" w:rsidRPr="004F34DE" w:rsidTr="00280995">
        <w:trPr>
          <w:trHeight w:val="1017"/>
          <w:jc w:val="center"/>
        </w:trPr>
        <w:tc>
          <w:tcPr>
            <w:tcW w:w="2830" w:type="dxa"/>
            <w:tcBorders>
              <w:top w:val="single" w:sz="4" w:space="0" w:color="auto"/>
            </w:tcBorders>
            <w:shd w:val="clear" w:color="auto" w:fill="auto"/>
            <w:vAlign w:val="center"/>
          </w:tcPr>
          <w:p w:rsidR="00AE6994" w:rsidRPr="004F34DE" w:rsidRDefault="00AE6994" w:rsidP="00AE6994">
            <w:pPr>
              <w:rPr>
                <w:rFonts w:cs="Arial"/>
                <w:sz w:val="20"/>
              </w:rPr>
            </w:pPr>
            <w:r w:rsidRPr="004F34DE">
              <w:rPr>
                <w:rFonts w:cs="Arial"/>
                <w:sz w:val="20"/>
              </w:rPr>
              <w:t>Council Tax</w:t>
            </w:r>
          </w:p>
          <w:p w:rsidR="00AE6994" w:rsidRPr="004F34DE" w:rsidRDefault="00AE6994" w:rsidP="00AE6994">
            <w:pPr>
              <w:rPr>
                <w:rFonts w:cs="Arial"/>
                <w:sz w:val="20"/>
              </w:rPr>
            </w:pPr>
          </w:p>
        </w:tc>
        <w:tc>
          <w:tcPr>
            <w:tcW w:w="5245" w:type="dxa"/>
            <w:shd w:val="clear" w:color="auto" w:fill="auto"/>
          </w:tcPr>
          <w:p w:rsidR="00AE6994" w:rsidRDefault="00AE6994" w:rsidP="00AE6994">
            <w:pPr>
              <w:rPr>
                <w:sz w:val="20"/>
              </w:rPr>
            </w:pPr>
            <w:r w:rsidRPr="00345AB2">
              <w:rPr>
                <w:sz w:val="20"/>
              </w:rPr>
              <w:t>Council Tax was introduced with effect from 1 April 1993 by the Local Government Finance Act 1992. The tax is payable by residents on all domestic dwellings, with certain exceptions for exempted classes, as a way of contributing to local services.</w:t>
            </w:r>
          </w:p>
          <w:p w:rsidR="00AE6994" w:rsidRDefault="00AE6994" w:rsidP="00AE6994">
            <w:pPr>
              <w:rPr>
                <w:rFonts w:eastAsiaTheme="minorHAnsi"/>
                <w:sz w:val="20"/>
              </w:rPr>
            </w:pPr>
            <w:r w:rsidRPr="00A56B89">
              <w:rPr>
                <w:rFonts w:eastAsiaTheme="minorHAnsi"/>
                <w:sz w:val="20"/>
              </w:rPr>
              <w:t>The 2017-2018 income value is approximately £</w:t>
            </w:r>
            <w:r>
              <w:rPr>
                <w:rFonts w:eastAsiaTheme="minorHAnsi"/>
                <w:sz w:val="20"/>
              </w:rPr>
              <w:t>60</w:t>
            </w:r>
            <w:r w:rsidRPr="00A56B89">
              <w:rPr>
                <w:rFonts w:eastAsiaTheme="minorHAnsi"/>
                <w:sz w:val="20"/>
              </w:rPr>
              <w:t>.2m</w:t>
            </w:r>
            <w:r>
              <w:rPr>
                <w:rFonts w:eastAsiaTheme="minorHAnsi"/>
                <w:sz w:val="20"/>
              </w:rPr>
              <w:t xml:space="preserve">.  </w:t>
            </w:r>
          </w:p>
          <w:p w:rsidR="00AE6994" w:rsidRDefault="00AE6994" w:rsidP="00AE6994">
            <w:pPr>
              <w:rPr>
                <w:sz w:val="20"/>
              </w:rPr>
            </w:pPr>
          </w:p>
          <w:p w:rsidR="00AE6994" w:rsidRDefault="00AE6994" w:rsidP="00642C5F">
            <w:pPr>
              <w:rPr>
                <w:rFonts w:cs="Arial"/>
                <w:sz w:val="20"/>
              </w:rPr>
            </w:pPr>
            <w:r w:rsidRPr="00E3152B">
              <w:rPr>
                <w:rFonts w:cs="Arial"/>
                <w:sz w:val="20"/>
              </w:rPr>
              <w:t xml:space="preserve">The objective of the audit </w:t>
            </w:r>
            <w:r w:rsidR="00E658CC">
              <w:rPr>
                <w:rFonts w:cs="Arial"/>
                <w:sz w:val="20"/>
              </w:rPr>
              <w:t>was</w:t>
            </w:r>
            <w:r w:rsidRPr="00E3152B">
              <w:rPr>
                <w:rFonts w:cs="Arial"/>
                <w:sz w:val="20"/>
              </w:rPr>
              <w:t xml:space="preserve"> to provide assurance or otherwise on the adequacy and effectiveness of the key controls implemented by management to ensure that the identified risks are being sufficiently managed.  </w:t>
            </w:r>
          </w:p>
          <w:p w:rsidR="00C52A6A" w:rsidRPr="004F34DE" w:rsidRDefault="00C52A6A" w:rsidP="00642C5F">
            <w:pPr>
              <w:rPr>
                <w:rFonts w:cs="Arial"/>
                <w:sz w:val="20"/>
              </w:rPr>
            </w:pPr>
          </w:p>
        </w:tc>
        <w:tc>
          <w:tcPr>
            <w:tcW w:w="2126" w:type="dxa"/>
            <w:shd w:val="clear" w:color="auto" w:fill="FFC000"/>
            <w:vAlign w:val="center"/>
          </w:tcPr>
          <w:p w:rsidR="00AE6994" w:rsidRDefault="00AE6994" w:rsidP="00AE6994">
            <w:pPr>
              <w:ind w:right="141"/>
              <w:jc w:val="center"/>
              <w:rPr>
                <w:rFonts w:cs="Arial"/>
                <w:b/>
                <w:color w:val="000000"/>
                <w:sz w:val="20"/>
              </w:rPr>
            </w:pPr>
            <w:r w:rsidRPr="004F34DE">
              <w:rPr>
                <w:rFonts w:cs="Arial"/>
                <w:b/>
                <w:color w:val="000000"/>
                <w:sz w:val="20"/>
              </w:rPr>
              <w:t>Amber (</w:t>
            </w:r>
            <w:r>
              <w:rPr>
                <w:rFonts w:cs="Arial"/>
                <w:b/>
                <w:color w:val="000000"/>
                <w:sz w:val="20"/>
              </w:rPr>
              <w:t>8</w:t>
            </w:r>
            <w:r w:rsidRPr="004F34DE">
              <w:rPr>
                <w:rFonts w:cs="Arial"/>
                <w:b/>
                <w:color w:val="000000"/>
                <w:sz w:val="20"/>
              </w:rPr>
              <w:t>)</w:t>
            </w:r>
          </w:p>
          <w:p w:rsidR="00AE6994" w:rsidRPr="004F34DE" w:rsidRDefault="00AE6994" w:rsidP="00AE6994">
            <w:pPr>
              <w:ind w:right="141"/>
              <w:jc w:val="center"/>
              <w:rPr>
                <w:rFonts w:cs="Arial"/>
                <w:b/>
                <w:color w:val="000000"/>
                <w:sz w:val="20"/>
              </w:rPr>
            </w:pPr>
            <w:r>
              <w:rPr>
                <w:rFonts w:cs="Arial"/>
                <w:b/>
                <w:color w:val="000000"/>
                <w:sz w:val="20"/>
              </w:rPr>
              <w:t>Substantial</w:t>
            </w:r>
          </w:p>
        </w:tc>
        <w:tc>
          <w:tcPr>
            <w:tcW w:w="5529" w:type="dxa"/>
            <w:shd w:val="clear" w:color="auto" w:fill="auto"/>
          </w:tcPr>
          <w:p w:rsidR="00AE6994" w:rsidRPr="00D35F86" w:rsidRDefault="00AE6994" w:rsidP="00AE6994">
            <w:pPr>
              <w:pStyle w:val="ListParagraph"/>
              <w:ind w:left="0"/>
              <w:rPr>
                <w:rFonts w:ascii="Arial" w:hAnsi="Arial" w:cs="Arial"/>
                <w:sz w:val="20"/>
                <w:szCs w:val="20"/>
              </w:rPr>
            </w:pPr>
            <w:r w:rsidRPr="00D35F86">
              <w:rPr>
                <w:rFonts w:ascii="Arial" w:hAnsi="Arial" w:cs="Arial"/>
                <w:sz w:val="20"/>
                <w:szCs w:val="20"/>
              </w:rPr>
              <w:t>No significant control weaknesses were identified however evidence documenting refund checks should be introduced and so that there is a full audit trail, administrator access for ICT offices should be strengthened.</w:t>
            </w:r>
          </w:p>
          <w:p w:rsidR="00AE6994" w:rsidRPr="004F34DE" w:rsidRDefault="00AE6994" w:rsidP="00AE6994">
            <w:pPr>
              <w:ind w:left="-18"/>
              <w:rPr>
                <w:rFonts w:eastAsia="Calibri" w:cs="Arial"/>
                <w:sz w:val="20"/>
                <w:lang w:eastAsia="en-US"/>
              </w:rPr>
            </w:pPr>
          </w:p>
        </w:tc>
      </w:tr>
      <w:tr w:rsidR="00AE6994" w:rsidRPr="004F34DE" w:rsidTr="00280995">
        <w:trPr>
          <w:trHeight w:val="1017"/>
          <w:jc w:val="center"/>
        </w:trPr>
        <w:tc>
          <w:tcPr>
            <w:tcW w:w="2830" w:type="dxa"/>
            <w:tcBorders>
              <w:top w:val="single" w:sz="4" w:space="0" w:color="auto"/>
            </w:tcBorders>
            <w:shd w:val="clear" w:color="auto" w:fill="auto"/>
            <w:vAlign w:val="center"/>
          </w:tcPr>
          <w:p w:rsidR="00AE6994" w:rsidRPr="004F34DE" w:rsidRDefault="00AE6994" w:rsidP="00AE6994">
            <w:pPr>
              <w:rPr>
                <w:rFonts w:cs="Arial"/>
                <w:sz w:val="20"/>
              </w:rPr>
            </w:pPr>
            <w:r w:rsidRPr="004F34DE">
              <w:rPr>
                <w:rFonts w:cs="Arial"/>
                <w:sz w:val="20"/>
              </w:rPr>
              <w:t xml:space="preserve">Non Domestic Rates,  </w:t>
            </w:r>
          </w:p>
        </w:tc>
        <w:tc>
          <w:tcPr>
            <w:tcW w:w="5245" w:type="dxa"/>
            <w:shd w:val="clear" w:color="auto" w:fill="auto"/>
          </w:tcPr>
          <w:p w:rsidR="00AE6994" w:rsidRDefault="00AE6994" w:rsidP="00AE6994">
            <w:pPr>
              <w:rPr>
                <w:rFonts w:eastAsiaTheme="minorHAnsi"/>
                <w:sz w:val="20"/>
              </w:rPr>
            </w:pPr>
            <w:r w:rsidRPr="00A56B89">
              <w:rPr>
                <w:rFonts w:eastAsiaTheme="minorHAnsi"/>
                <w:sz w:val="20"/>
              </w:rPr>
              <w:t xml:space="preserve">Under the Local Government Finance Act 1988, the Council is required to collect </w:t>
            </w:r>
            <w:r>
              <w:rPr>
                <w:rFonts w:eastAsiaTheme="minorHAnsi"/>
                <w:sz w:val="20"/>
              </w:rPr>
              <w:t>n</w:t>
            </w:r>
            <w:r w:rsidRPr="00A56B89">
              <w:rPr>
                <w:rFonts w:eastAsiaTheme="minorHAnsi"/>
                <w:sz w:val="20"/>
              </w:rPr>
              <w:t xml:space="preserve">on </w:t>
            </w:r>
            <w:r>
              <w:rPr>
                <w:rFonts w:eastAsiaTheme="minorHAnsi"/>
                <w:sz w:val="20"/>
              </w:rPr>
              <w:t>d</w:t>
            </w:r>
            <w:r w:rsidRPr="00A56B89">
              <w:rPr>
                <w:rFonts w:eastAsiaTheme="minorHAnsi"/>
                <w:sz w:val="20"/>
              </w:rPr>
              <w:t xml:space="preserve">omestic </w:t>
            </w:r>
            <w:r>
              <w:rPr>
                <w:rFonts w:eastAsiaTheme="minorHAnsi"/>
                <w:sz w:val="20"/>
              </w:rPr>
              <w:t>r</w:t>
            </w:r>
            <w:r w:rsidRPr="00A56B89">
              <w:rPr>
                <w:rFonts w:eastAsiaTheme="minorHAnsi"/>
                <w:sz w:val="20"/>
              </w:rPr>
              <w:t xml:space="preserve">ates (Business Rates). The Revenues Section are responsible for the administration of </w:t>
            </w:r>
            <w:r>
              <w:rPr>
                <w:rFonts w:eastAsiaTheme="minorHAnsi"/>
                <w:sz w:val="20"/>
              </w:rPr>
              <w:t>n</w:t>
            </w:r>
            <w:r w:rsidRPr="00A56B89">
              <w:rPr>
                <w:rFonts w:eastAsiaTheme="minorHAnsi"/>
                <w:sz w:val="20"/>
              </w:rPr>
              <w:t xml:space="preserve">on- </w:t>
            </w:r>
            <w:r>
              <w:rPr>
                <w:rFonts w:eastAsiaTheme="minorHAnsi"/>
                <w:sz w:val="20"/>
              </w:rPr>
              <w:t>d</w:t>
            </w:r>
            <w:r w:rsidRPr="00A56B89">
              <w:rPr>
                <w:rFonts w:eastAsiaTheme="minorHAnsi"/>
                <w:sz w:val="20"/>
              </w:rPr>
              <w:t xml:space="preserve">omestic </w:t>
            </w:r>
            <w:r>
              <w:rPr>
                <w:rFonts w:eastAsiaTheme="minorHAnsi"/>
                <w:sz w:val="20"/>
              </w:rPr>
              <w:t>r</w:t>
            </w:r>
            <w:r w:rsidRPr="00A56B89">
              <w:rPr>
                <w:rFonts w:eastAsiaTheme="minorHAnsi"/>
                <w:sz w:val="20"/>
              </w:rPr>
              <w:t>ates, including issuing of bills, collection and recovery of income, and the granting of reliefs and discounts.</w:t>
            </w:r>
            <w:r>
              <w:rPr>
                <w:rFonts w:eastAsiaTheme="minorHAnsi"/>
                <w:sz w:val="20"/>
              </w:rPr>
              <w:t xml:space="preserve">  </w:t>
            </w:r>
            <w:r w:rsidRPr="00A56B89">
              <w:rPr>
                <w:rFonts w:eastAsiaTheme="minorHAnsi"/>
                <w:sz w:val="20"/>
              </w:rPr>
              <w:t>The 2017-2018 income value is approximately £38.2m</w:t>
            </w:r>
            <w:r>
              <w:rPr>
                <w:rFonts w:eastAsiaTheme="minorHAnsi"/>
                <w:sz w:val="20"/>
              </w:rPr>
              <w:t xml:space="preserve">.  </w:t>
            </w:r>
          </w:p>
          <w:p w:rsidR="00AE6994" w:rsidRDefault="00AE6994" w:rsidP="00AE6994">
            <w:pPr>
              <w:rPr>
                <w:rFonts w:eastAsiaTheme="minorHAnsi"/>
                <w:sz w:val="20"/>
              </w:rPr>
            </w:pPr>
          </w:p>
          <w:p w:rsidR="00AE6994" w:rsidRDefault="00AE6994" w:rsidP="00AE6994">
            <w:pPr>
              <w:rPr>
                <w:rFonts w:eastAsiaTheme="minorHAnsi"/>
                <w:sz w:val="20"/>
              </w:rPr>
            </w:pPr>
            <w:r w:rsidRPr="00E3152B">
              <w:rPr>
                <w:rFonts w:cs="Arial"/>
                <w:sz w:val="20"/>
              </w:rPr>
              <w:t xml:space="preserve">The objective of the audit </w:t>
            </w:r>
            <w:r w:rsidR="00E658CC">
              <w:rPr>
                <w:rFonts w:cs="Arial"/>
                <w:sz w:val="20"/>
              </w:rPr>
              <w:t>was</w:t>
            </w:r>
            <w:r w:rsidRPr="00E3152B">
              <w:rPr>
                <w:rFonts w:cs="Arial"/>
                <w:sz w:val="20"/>
              </w:rPr>
              <w:t xml:space="preserve"> to provide assurance or otherwise on the adequacy and effectiveness of the key controls implemented by management to ensure that the identified risks are being sufficiently managed</w:t>
            </w:r>
          </w:p>
          <w:p w:rsidR="00AE6994" w:rsidRPr="004F34DE" w:rsidRDefault="00AE6994" w:rsidP="00AE6994">
            <w:pPr>
              <w:rPr>
                <w:rFonts w:cs="Arial"/>
                <w:sz w:val="20"/>
              </w:rPr>
            </w:pPr>
          </w:p>
        </w:tc>
        <w:tc>
          <w:tcPr>
            <w:tcW w:w="2126" w:type="dxa"/>
            <w:shd w:val="clear" w:color="auto" w:fill="FFC000" w:themeFill="accent4"/>
            <w:vAlign w:val="center"/>
          </w:tcPr>
          <w:p w:rsidR="00AE6994" w:rsidRDefault="00AE6994" w:rsidP="00AE6994">
            <w:pPr>
              <w:ind w:right="141"/>
              <w:jc w:val="center"/>
              <w:rPr>
                <w:rFonts w:cs="Arial"/>
                <w:b/>
                <w:color w:val="000000"/>
                <w:sz w:val="20"/>
              </w:rPr>
            </w:pPr>
            <w:r w:rsidRPr="004F34DE">
              <w:rPr>
                <w:rFonts w:cs="Arial"/>
                <w:b/>
                <w:color w:val="000000"/>
                <w:sz w:val="20"/>
              </w:rPr>
              <w:t>Amber (</w:t>
            </w:r>
            <w:r>
              <w:rPr>
                <w:rFonts w:cs="Arial"/>
                <w:b/>
                <w:color w:val="000000"/>
                <w:sz w:val="20"/>
              </w:rPr>
              <w:t>8</w:t>
            </w:r>
            <w:r w:rsidRPr="004F34DE">
              <w:rPr>
                <w:rFonts w:cs="Arial"/>
                <w:b/>
                <w:color w:val="000000"/>
                <w:sz w:val="20"/>
              </w:rPr>
              <w:t>)</w:t>
            </w:r>
          </w:p>
          <w:p w:rsidR="00AE6994" w:rsidRPr="004F34DE" w:rsidRDefault="00AE6994" w:rsidP="00AE6994">
            <w:pPr>
              <w:ind w:right="141"/>
              <w:jc w:val="center"/>
              <w:rPr>
                <w:rFonts w:cs="Arial"/>
                <w:b/>
                <w:color w:val="000000"/>
                <w:sz w:val="20"/>
              </w:rPr>
            </w:pPr>
            <w:r>
              <w:rPr>
                <w:rFonts w:cs="Arial"/>
                <w:b/>
                <w:color w:val="000000"/>
                <w:sz w:val="20"/>
              </w:rPr>
              <w:t>Substantial</w:t>
            </w:r>
          </w:p>
        </w:tc>
        <w:tc>
          <w:tcPr>
            <w:tcW w:w="5529" w:type="dxa"/>
            <w:shd w:val="clear" w:color="auto" w:fill="auto"/>
          </w:tcPr>
          <w:p w:rsidR="00AE6994" w:rsidRPr="004F34DE" w:rsidRDefault="00AE6994" w:rsidP="00AE6994">
            <w:pPr>
              <w:ind w:left="-18"/>
              <w:rPr>
                <w:rFonts w:eastAsia="Calibri" w:cs="Arial"/>
                <w:sz w:val="20"/>
                <w:lang w:eastAsia="en-US"/>
              </w:rPr>
            </w:pPr>
            <w:r w:rsidRPr="00A56B89">
              <w:rPr>
                <w:sz w:val="20"/>
              </w:rPr>
              <w:t>No significant control weaknesses were identified</w:t>
            </w:r>
            <w:r>
              <w:rPr>
                <w:sz w:val="20"/>
              </w:rPr>
              <w:t xml:space="preserve"> however an independent review of the awarding of reliefs and discounts should be introduced</w:t>
            </w:r>
          </w:p>
        </w:tc>
      </w:tr>
      <w:tr w:rsidR="00AE6994" w:rsidRPr="004F34DE" w:rsidTr="00280995">
        <w:trPr>
          <w:trHeight w:val="1017"/>
          <w:jc w:val="center"/>
        </w:trPr>
        <w:tc>
          <w:tcPr>
            <w:tcW w:w="2830" w:type="dxa"/>
            <w:tcBorders>
              <w:top w:val="single" w:sz="4" w:space="0" w:color="auto"/>
            </w:tcBorders>
            <w:shd w:val="clear" w:color="auto" w:fill="auto"/>
            <w:vAlign w:val="center"/>
          </w:tcPr>
          <w:p w:rsidR="00AE6994" w:rsidRPr="004F34DE" w:rsidRDefault="00AE6994" w:rsidP="00AE6994">
            <w:pPr>
              <w:rPr>
                <w:rFonts w:cs="Arial"/>
                <w:sz w:val="20"/>
              </w:rPr>
            </w:pPr>
            <w:r w:rsidRPr="004F34DE">
              <w:rPr>
                <w:rFonts w:cs="Arial"/>
                <w:sz w:val="20"/>
              </w:rPr>
              <w:t>Housing Benefits</w:t>
            </w:r>
          </w:p>
        </w:tc>
        <w:tc>
          <w:tcPr>
            <w:tcW w:w="5245" w:type="dxa"/>
            <w:shd w:val="clear" w:color="auto" w:fill="auto"/>
          </w:tcPr>
          <w:p w:rsidR="00AE6994" w:rsidRDefault="00AE6994" w:rsidP="00AE6994">
            <w:pPr>
              <w:rPr>
                <w:sz w:val="20"/>
              </w:rPr>
            </w:pPr>
            <w:r w:rsidRPr="006A06E5">
              <w:rPr>
                <w:sz w:val="20"/>
              </w:rPr>
              <w:t>Housing Benefit is a means tested social security benefit in the United Kingdom that is intended to help meet housing costs for rented accommodation. The primary legislation governing Housing Benefit is the Social Security Contributions and Benefits Act 1992. The Revenues</w:t>
            </w:r>
            <w:r>
              <w:rPr>
                <w:sz w:val="20"/>
              </w:rPr>
              <w:t xml:space="preserve"> &amp;</w:t>
            </w:r>
            <w:r w:rsidRPr="006A06E5">
              <w:rPr>
                <w:sz w:val="20"/>
              </w:rPr>
              <w:t xml:space="preserve"> Benefits Sections objective is to administer Housing Benefit applications and assessments in compliance with the statutory guidance</w:t>
            </w:r>
            <w:r>
              <w:rPr>
                <w:sz w:val="20"/>
              </w:rPr>
              <w:t>.</w:t>
            </w:r>
          </w:p>
          <w:p w:rsidR="00AE6994" w:rsidRDefault="00AE6994" w:rsidP="00AE6994">
            <w:pPr>
              <w:rPr>
                <w:sz w:val="20"/>
              </w:rPr>
            </w:pPr>
          </w:p>
          <w:p w:rsidR="00AE6994" w:rsidRDefault="00AE6994" w:rsidP="00AE6994">
            <w:pPr>
              <w:rPr>
                <w:rFonts w:eastAsiaTheme="minorHAnsi"/>
                <w:sz w:val="20"/>
              </w:rPr>
            </w:pPr>
            <w:r w:rsidRPr="00E3152B">
              <w:rPr>
                <w:rFonts w:cs="Arial"/>
                <w:sz w:val="20"/>
              </w:rPr>
              <w:t xml:space="preserve">The objective of the audit </w:t>
            </w:r>
            <w:r w:rsidR="00E658CC">
              <w:rPr>
                <w:rFonts w:cs="Arial"/>
                <w:sz w:val="20"/>
              </w:rPr>
              <w:t>was</w:t>
            </w:r>
            <w:r w:rsidRPr="00E3152B">
              <w:rPr>
                <w:rFonts w:cs="Arial"/>
                <w:sz w:val="20"/>
              </w:rPr>
              <w:t xml:space="preserve"> to provide assurance or otherwise on the adequacy and effectiveness of the key controls implemented by management to ensure that the identified risks are being sufficiently managed</w:t>
            </w:r>
          </w:p>
          <w:p w:rsidR="00AE6994" w:rsidRDefault="00AE6994" w:rsidP="00AE6994">
            <w:pPr>
              <w:rPr>
                <w:sz w:val="20"/>
              </w:rPr>
            </w:pPr>
          </w:p>
          <w:p w:rsidR="00AE6994" w:rsidRDefault="00AE6994" w:rsidP="00AE6994">
            <w:pPr>
              <w:rPr>
                <w:sz w:val="20"/>
              </w:rPr>
            </w:pPr>
          </w:p>
          <w:p w:rsidR="00AE6994" w:rsidRPr="004F34DE" w:rsidRDefault="00AE6994" w:rsidP="00AE6994">
            <w:pPr>
              <w:rPr>
                <w:rFonts w:cs="Arial"/>
                <w:sz w:val="20"/>
              </w:rPr>
            </w:pPr>
          </w:p>
        </w:tc>
        <w:tc>
          <w:tcPr>
            <w:tcW w:w="2126" w:type="dxa"/>
            <w:shd w:val="clear" w:color="auto" w:fill="FFC000" w:themeFill="accent4"/>
            <w:vAlign w:val="center"/>
          </w:tcPr>
          <w:p w:rsidR="00AE6994" w:rsidRDefault="00AE6994" w:rsidP="00AE6994">
            <w:pPr>
              <w:ind w:right="141"/>
              <w:jc w:val="center"/>
              <w:rPr>
                <w:rFonts w:cs="Arial"/>
                <w:b/>
                <w:color w:val="000000"/>
                <w:sz w:val="20"/>
              </w:rPr>
            </w:pPr>
            <w:r w:rsidRPr="004F34DE">
              <w:rPr>
                <w:rFonts w:cs="Arial"/>
                <w:b/>
                <w:color w:val="000000"/>
                <w:sz w:val="20"/>
              </w:rPr>
              <w:t>Amber (</w:t>
            </w:r>
            <w:r>
              <w:rPr>
                <w:rFonts w:cs="Arial"/>
                <w:b/>
                <w:color w:val="000000"/>
                <w:sz w:val="20"/>
              </w:rPr>
              <w:t>8</w:t>
            </w:r>
            <w:r w:rsidRPr="004F34DE">
              <w:rPr>
                <w:rFonts w:cs="Arial"/>
                <w:b/>
                <w:color w:val="000000"/>
                <w:sz w:val="20"/>
              </w:rPr>
              <w:t>)</w:t>
            </w:r>
          </w:p>
          <w:p w:rsidR="00AE6994" w:rsidRPr="004F34DE" w:rsidRDefault="00AE6994" w:rsidP="00AE6994">
            <w:pPr>
              <w:ind w:right="141"/>
              <w:jc w:val="center"/>
              <w:rPr>
                <w:rFonts w:cs="Arial"/>
                <w:b/>
                <w:color w:val="000000"/>
                <w:sz w:val="20"/>
              </w:rPr>
            </w:pPr>
            <w:r>
              <w:rPr>
                <w:rFonts w:cs="Arial"/>
                <w:b/>
                <w:color w:val="000000"/>
                <w:sz w:val="20"/>
              </w:rPr>
              <w:t>Substantial</w:t>
            </w:r>
          </w:p>
        </w:tc>
        <w:tc>
          <w:tcPr>
            <w:tcW w:w="5529" w:type="dxa"/>
            <w:shd w:val="clear" w:color="auto" w:fill="auto"/>
          </w:tcPr>
          <w:p w:rsidR="00AE6994" w:rsidRPr="004F34DE" w:rsidRDefault="00AE6994" w:rsidP="00AE6994">
            <w:pPr>
              <w:pStyle w:val="ListParagraph"/>
              <w:ind w:left="0"/>
              <w:rPr>
                <w:rFonts w:cs="Arial"/>
                <w:sz w:val="20"/>
              </w:rPr>
            </w:pPr>
            <w:r w:rsidRPr="0054286E">
              <w:rPr>
                <w:rFonts w:ascii="Arial" w:hAnsi="Arial" w:cs="Arial"/>
                <w:sz w:val="20"/>
                <w:szCs w:val="20"/>
              </w:rPr>
              <w:t>The controls in place for the management and administration of Housing Benefi</w:t>
            </w:r>
            <w:r>
              <w:rPr>
                <w:rFonts w:ascii="Arial" w:hAnsi="Arial" w:cs="Arial"/>
                <w:sz w:val="20"/>
                <w:szCs w:val="20"/>
              </w:rPr>
              <w:t xml:space="preserve">t provide substantial assurance.  Only one minor </w:t>
            </w:r>
            <w:r w:rsidRPr="0054286E">
              <w:rPr>
                <w:rFonts w:ascii="Arial" w:hAnsi="Arial" w:cs="Arial"/>
                <w:sz w:val="20"/>
                <w:szCs w:val="20"/>
              </w:rPr>
              <w:t xml:space="preserve">control weakness was </w:t>
            </w:r>
            <w:r>
              <w:rPr>
                <w:rFonts w:ascii="Arial" w:hAnsi="Arial" w:cs="Arial"/>
                <w:sz w:val="20"/>
                <w:szCs w:val="20"/>
              </w:rPr>
              <w:t xml:space="preserve">identified relating to the retention of landlord data. </w:t>
            </w:r>
          </w:p>
        </w:tc>
      </w:tr>
      <w:tr w:rsidR="00AE6994" w:rsidRPr="004F34DE" w:rsidTr="00280995">
        <w:trPr>
          <w:trHeight w:val="1017"/>
          <w:jc w:val="center"/>
        </w:trPr>
        <w:tc>
          <w:tcPr>
            <w:tcW w:w="2830" w:type="dxa"/>
            <w:tcBorders>
              <w:top w:val="single" w:sz="4" w:space="0" w:color="auto"/>
            </w:tcBorders>
            <w:shd w:val="clear" w:color="auto" w:fill="auto"/>
            <w:vAlign w:val="center"/>
          </w:tcPr>
          <w:p w:rsidR="00AE6994" w:rsidRPr="004F34DE" w:rsidRDefault="00AE6994" w:rsidP="00AE6994">
            <w:pPr>
              <w:rPr>
                <w:rFonts w:cs="Arial"/>
                <w:sz w:val="20"/>
              </w:rPr>
            </w:pPr>
            <w:r w:rsidRPr="004F34DE">
              <w:rPr>
                <w:rFonts w:cs="Arial"/>
                <w:sz w:val="20"/>
              </w:rPr>
              <w:t>Sundry Debtors</w:t>
            </w:r>
          </w:p>
        </w:tc>
        <w:tc>
          <w:tcPr>
            <w:tcW w:w="5245" w:type="dxa"/>
            <w:shd w:val="clear" w:color="auto" w:fill="auto"/>
          </w:tcPr>
          <w:p w:rsidR="00AE6994" w:rsidRDefault="00AE6994" w:rsidP="00AE6994">
            <w:pPr>
              <w:rPr>
                <w:rFonts w:eastAsiaTheme="minorHAnsi" w:cs="Arial"/>
                <w:sz w:val="20"/>
                <w:lang w:eastAsia="en-US"/>
              </w:rPr>
            </w:pPr>
            <w:r w:rsidRPr="0054286E">
              <w:rPr>
                <w:rFonts w:eastAsiaTheme="minorHAnsi" w:cs="Arial"/>
                <w:sz w:val="20"/>
                <w:lang w:eastAsia="en-US"/>
              </w:rPr>
              <w:t>Day to day responsibility for administering the Council’s Sundry Debtor system is performed by the Revenues Service. The objective of the Service is to support the timely and accurate invoicing and recovery of income due to the Council arising from work done, goods supplied or services rendered</w:t>
            </w:r>
            <w:r>
              <w:rPr>
                <w:rFonts w:eastAsiaTheme="minorHAnsi" w:cs="Arial"/>
                <w:sz w:val="20"/>
                <w:lang w:eastAsia="en-US"/>
              </w:rPr>
              <w:t>.</w:t>
            </w:r>
          </w:p>
          <w:p w:rsidR="00AE6994" w:rsidRDefault="00AE6994" w:rsidP="00AE6994">
            <w:pPr>
              <w:rPr>
                <w:rFonts w:eastAsiaTheme="minorHAnsi" w:cs="Arial"/>
                <w:sz w:val="20"/>
                <w:lang w:eastAsia="en-US"/>
              </w:rPr>
            </w:pPr>
          </w:p>
          <w:p w:rsidR="00AE6994" w:rsidRDefault="00AE6994" w:rsidP="00AE6994">
            <w:pPr>
              <w:rPr>
                <w:rFonts w:eastAsiaTheme="minorHAnsi"/>
                <w:sz w:val="20"/>
              </w:rPr>
            </w:pPr>
            <w:r w:rsidRPr="00E3152B">
              <w:rPr>
                <w:rFonts w:cs="Arial"/>
                <w:sz w:val="20"/>
              </w:rPr>
              <w:t xml:space="preserve">The objective of the audit </w:t>
            </w:r>
            <w:r w:rsidR="00E658CC">
              <w:rPr>
                <w:rFonts w:cs="Arial"/>
                <w:sz w:val="20"/>
              </w:rPr>
              <w:t>was</w:t>
            </w:r>
            <w:r w:rsidRPr="00E3152B">
              <w:rPr>
                <w:rFonts w:cs="Arial"/>
                <w:sz w:val="20"/>
              </w:rPr>
              <w:t xml:space="preserve"> to provide assurance or otherwise on the adequacy and effectiveness of the key controls implemented by management to ensure that the identified risks are being sufficiently managed</w:t>
            </w:r>
          </w:p>
          <w:p w:rsidR="00AE6994" w:rsidRDefault="00AE6994" w:rsidP="00AE6994">
            <w:pPr>
              <w:rPr>
                <w:rFonts w:cs="Arial"/>
                <w:sz w:val="20"/>
              </w:rPr>
            </w:pPr>
          </w:p>
          <w:p w:rsidR="00C52A6A" w:rsidRPr="0054286E" w:rsidRDefault="00C52A6A" w:rsidP="00AE6994">
            <w:pPr>
              <w:rPr>
                <w:rFonts w:cs="Arial"/>
                <w:sz w:val="20"/>
              </w:rPr>
            </w:pPr>
          </w:p>
        </w:tc>
        <w:tc>
          <w:tcPr>
            <w:tcW w:w="2126" w:type="dxa"/>
            <w:shd w:val="clear" w:color="auto" w:fill="FFC000" w:themeFill="accent4"/>
            <w:vAlign w:val="center"/>
          </w:tcPr>
          <w:p w:rsidR="00AE6994" w:rsidRDefault="00AE6994" w:rsidP="00AE6994">
            <w:pPr>
              <w:ind w:right="141"/>
              <w:jc w:val="center"/>
              <w:rPr>
                <w:rFonts w:cs="Arial"/>
                <w:b/>
                <w:color w:val="000000"/>
                <w:sz w:val="20"/>
              </w:rPr>
            </w:pPr>
            <w:r w:rsidRPr="004F34DE">
              <w:rPr>
                <w:rFonts w:cs="Arial"/>
                <w:b/>
                <w:color w:val="000000"/>
                <w:sz w:val="20"/>
              </w:rPr>
              <w:t>Amber (</w:t>
            </w:r>
            <w:r>
              <w:rPr>
                <w:rFonts w:cs="Arial"/>
                <w:b/>
                <w:color w:val="000000"/>
                <w:sz w:val="20"/>
              </w:rPr>
              <w:t>4</w:t>
            </w:r>
            <w:r w:rsidRPr="004F34DE">
              <w:rPr>
                <w:rFonts w:cs="Arial"/>
                <w:b/>
                <w:color w:val="000000"/>
                <w:sz w:val="20"/>
              </w:rPr>
              <w:t>)</w:t>
            </w:r>
          </w:p>
          <w:p w:rsidR="00AE6994" w:rsidRPr="004F34DE" w:rsidRDefault="00AE6994" w:rsidP="00AE6994">
            <w:pPr>
              <w:ind w:right="141"/>
              <w:jc w:val="center"/>
              <w:rPr>
                <w:rFonts w:cs="Arial"/>
                <w:b/>
                <w:color w:val="000000"/>
                <w:sz w:val="20"/>
              </w:rPr>
            </w:pPr>
            <w:r>
              <w:rPr>
                <w:rFonts w:cs="Arial"/>
                <w:b/>
                <w:color w:val="000000"/>
                <w:sz w:val="20"/>
              </w:rPr>
              <w:t>Full</w:t>
            </w:r>
          </w:p>
        </w:tc>
        <w:tc>
          <w:tcPr>
            <w:tcW w:w="5529" w:type="dxa"/>
            <w:shd w:val="clear" w:color="auto" w:fill="auto"/>
          </w:tcPr>
          <w:p w:rsidR="00AE6994" w:rsidRDefault="00AE6994" w:rsidP="00AE6994">
            <w:pPr>
              <w:ind w:left="-18"/>
              <w:rPr>
                <w:rFonts w:cs="Arial"/>
                <w:sz w:val="20"/>
              </w:rPr>
            </w:pPr>
            <w:r>
              <w:rPr>
                <w:rFonts w:cs="Arial"/>
                <w:sz w:val="20"/>
              </w:rPr>
              <w:t>No key control weaknesses identified</w:t>
            </w:r>
          </w:p>
          <w:p w:rsidR="00AE6994" w:rsidRPr="004F34DE" w:rsidRDefault="00AE6994" w:rsidP="00AE6994">
            <w:pPr>
              <w:ind w:left="-18"/>
              <w:rPr>
                <w:rFonts w:cs="Arial"/>
                <w:sz w:val="20"/>
              </w:rPr>
            </w:pPr>
          </w:p>
        </w:tc>
      </w:tr>
      <w:tr w:rsidR="00AE6994" w:rsidRPr="004F34DE" w:rsidTr="00280995">
        <w:trPr>
          <w:trHeight w:val="1017"/>
          <w:jc w:val="center"/>
        </w:trPr>
        <w:tc>
          <w:tcPr>
            <w:tcW w:w="2830" w:type="dxa"/>
            <w:tcBorders>
              <w:top w:val="single" w:sz="4" w:space="0" w:color="auto"/>
            </w:tcBorders>
            <w:shd w:val="clear" w:color="auto" w:fill="auto"/>
            <w:vAlign w:val="center"/>
          </w:tcPr>
          <w:p w:rsidR="00AE6994" w:rsidRPr="004F34DE" w:rsidRDefault="00AE6994" w:rsidP="00AE6994">
            <w:pPr>
              <w:rPr>
                <w:rFonts w:cs="Arial"/>
                <w:sz w:val="20"/>
              </w:rPr>
            </w:pPr>
            <w:r>
              <w:rPr>
                <w:rFonts w:cs="Arial"/>
                <w:sz w:val="20"/>
              </w:rPr>
              <w:t>Homelessness Service</w:t>
            </w:r>
          </w:p>
        </w:tc>
        <w:tc>
          <w:tcPr>
            <w:tcW w:w="5245" w:type="dxa"/>
            <w:shd w:val="clear" w:color="auto" w:fill="auto"/>
          </w:tcPr>
          <w:p w:rsidR="00AE6994" w:rsidRPr="00AE6994" w:rsidRDefault="00AE6994" w:rsidP="00AE6994">
            <w:pPr>
              <w:rPr>
                <w:rFonts w:eastAsiaTheme="minorHAnsi" w:cs="Arial"/>
                <w:sz w:val="20"/>
              </w:rPr>
            </w:pPr>
            <w:r w:rsidRPr="00AE6994">
              <w:rPr>
                <w:rFonts w:eastAsiaTheme="minorHAnsi" w:cs="Arial"/>
                <w:sz w:val="20"/>
              </w:rPr>
              <w:t>The Council has a statutory duty under the Homelessness Act 2002 to carry out review of homelessness in the borough and to publish a strategy. Prevention of Homelessness has the following priorities</w:t>
            </w:r>
          </w:p>
          <w:p w:rsidR="00AE6994" w:rsidRPr="00AE6994" w:rsidRDefault="00AE6994" w:rsidP="00AE6994">
            <w:pPr>
              <w:pStyle w:val="ListParagraph"/>
              <w:numPr>
                <w:ilvl w:val="0"/>
                <w:numId w:val="22"/>
              </w:numPr>
              <w:spacing w:after="0" w:line="240" w:lineRule="auto"/>
              <w:ind w:left="487"/>
              <w:rPr>
                <w:rFonts w:ascii="Arial" w:eastAsiaTheme="minorHAnsi" w:hAnsi="Arial" w:cs="Arial"/>
                <w:sz w:val="20"/>
                <w:szCs w:val="20"/>
              </w:rPr>
            </w:pPr>
            <w:r w:rsidRPr="00AE6994">
              <w:rPr>
                <w:rFonts w:ascii="Arial" w:eastAsiaTheme="minorHAnsi" w:hAnsi="Arial" w:cs="Arial"/>
                <w:sz w:val="20"/>
                <w:szCs w:val="20"/>
              </w:rPr>
              <w:t>Sufficient accommodation is and will be available;</w:t>
            </w:r>
          </w:p>
          <w:p w:rsidR="00AE6994" w:rsidRPr="00AE6994" w:rsidRDefault="00AE6994" w:rsidP="00AE6994">
            <w:pPr>
              <w:pStyle w:val="ListParagraph"/>
              <w:numPr>
                <w:ilvl w:val="0"/>
                <w:numId w:val="22"/>
              </w:numPr>
              <w:spacing w:after="0" w:line="240" w:lineRule="auto"/>
              <w:ind w:left="487"/>
              <w:rPr>
                <w:rFonts w:ascii="Arial" w:eastAsiaTheme="minorHAnsi" w:hAnsi="Arial" w:cs="Arial"/>
                <w:sz w:val="20"/>
                <w:szCs w:val="20"/>
              </w:rPr>
            </w:pPr>
            <w:r w:rsidRPr="00AE6994">
              <w:rPr>
                <w:rFonts w:ascii="Arial" w:eastAsiaTheme="minorHAnsi" w:hAnsi="Arial" w:cs="Arial"/>
                <w:sz w:val="20"/>
                <w:szCs w:val="20"/>
              </w:rPr>
              <w:t xml:space="preserve">Preventing homelessness is a priority; </w:t>
            </w:r>
          </w:p>
          <w:p w:rsidR="00AE6994" w:rsidRPr="00AE6994" w:rsidRDefault="00AE6994" w:rsidP="00AE6994">
            <w:pPr>
              <w:pStyle w:val="ListParagraph"/>
              <w:numPr>
                <w:ilvl w:val="0"/>
                <w:numId w:val="22"/>
              </w:numPr>
              <w:ind w:left="400" w:hanging="284"/>
              <w:rPr>
                <w:rFonts w:ascii="Arial" w:hAnsi="Arial" w:cs="Arial"/>
                <w:sz w:val="20"/>
                <w:szCs w:val="20"/>
              </w:rPr>
            </w:pPr>
            <w:r w:rsidRPr="00AE6994">
              <w:rPr>
                <w:rFonts w:ascii="Arial" w:eastAsiaTheme="minorHAnsi" w:hAnsi="Arial" w:cs="Arial"/>
                <w:sz w:val="20"/>
                <w:szCs w:val="20"/>
              </w:rPr>
              <w:t>A satisfactory provision of information, advice, assistance and support.</w:t>
            </w:r>
          </w:p>
          <w:p w:rsidR="00AE6994" w:rsidRPr="00AE6994" w:rsidRDefault="00AE6994" w:rsidP="00AE6994">
            <w:pPr>
              <w:rPr>
                <w:rFonts w:eastAsiaTheme="minorHAnsi" w:cs="Arial"/>
                <w:sz w:val="20"/>
              </w:rPr>
            </w:pPr>
            <w:r w:rsidRPr="00AE6994">
              <w:rPr>
                <w:rFonts w:cs="Arial"/>
                <w:sz w:val="20"/>
              </w:rPr>
              <w:t xml:space="preserve">The objective of the audit </w:t>
            </w:r>
            <w:r w:rsidR="00E658CC">
              <w:rPr>
                <w:rFonts w:cs="Arial"/>
                <w:sz w:val="20"/>
              </w:rPr>
              <w:t>was</w:t>
            </w:r>
            <w:r w:rsidRPr="00AE6994">
              <w:rPr>
                <w:rFonts w:cs="Arial"/>
                <w:sz w:val="20"/>
              </w:rPr>
              <w:t xml:space="preserve"> to provide assurance or otherwise on the adequacy and effectiveness of the key controls implemented by management to ensure that the identified risks are being sufficiently managed</w:t>
            </w:r>
          </w:p>
          <w:p w:rsidR="00AE6994" w:rsidRPr="00AE6994" w:rsidRDefault="00AE6994" w:rsidP="00AE6994">
            <w:pPr>
              <w:rPr>
                <w:rFonts w:eastAsia="Calibri" w:cs="Arial"/>
                <w:sz w:val="20"/>
              </w:rPr>
            </w:pPr>
          </w:p>
          <w:p w:rsidR="00AE6994" w:rsidRDefault="00AE6994" w:rsidP="00AE6994">
            <w:pPr>
              <w:rPr>
                <w:rFonts w:cs="Arial"/>
                <w:sz w:val="20"/>
              </w:rPr>
            </w:pPr>
          </w:p>
          <w:p w:rsidR="00AE6994" w:rsidRPr="00AE6994" w:rsidRDefault="00AE6994" w:rsidP="00AE6994">
            <w:pPr>
              <w:rPr>
                <w:rFonts w:cs="Arial"/>
                <w:sz w:val="20"/>
              </w:rPr>
            </w:pPr>
          </w:p>
        </w:tc>
        <w:tc>
          <w:tcPr>
            <w:tcW w:w="2126" w:type="dxa"/>
            <w:shd w:val="clear" w:color="auto" w:fill="FFC000"/>
            <w:vAlign w:val="center"/>
          </w:tcPr>
          <w:p w:rsidR="00AE6994" w:rsidRDefault="00AE6994" w:rsidP="00AE6994">
            <w:pPr>
              <w:ind w:right="141"/>
              <w:jc w:val="center"/>
              <w:rPr>
                <w:rFonts w:cs="Arial"/>
                <w:b/>
                <w:color w:val="000000"/>
                <w:sz w:val="20"/>
              </w:rPr>
            </w:pPr>
            <w:r w:rsidRPr="004F34DE">
              <w:rPr>
                <w:rFonts w:cs="Arial"/>
                <w:b/>
                <w:color w:val="000000"/>
                <w:sz w:val="20"/>
              </w:rPr>
              <w:t>Amber (</w:t>
            </w:r>
            <w:r>
              <w:rPr>
                <w:rFonts w:cs="Arial"/>
                <w:b/>
                <w:color w:val="000000"/>
                <w:sz w:val="20"/>
              </w:rPr>
              <w:t>6</w:t>
            </w:r>
            <w:r w:rsidRPr="004F34DE">
              <w:rPr>
                <w:rFonts w:cs="Arial"/>
                <w:b/>
                <w:color w:val="000000"/>
                <w:sz w:val="20"/>
              </w:rPr>
              <w:t>)</w:t>
            </w:r>
          </w:p>
          <w:p w:rsidR="00AE6994" w:rsidRPr="004F34DE" w:rsidRDefault="00AE6994" w:rsidP="00AE6994">
            <w:pPr>
              <w:ind w:right="141"/>
              <w:jc w:val="center"/>
              <w:rPr>
                <w:rFonts w:cs="Arial"/>
                <w:b/>
                <w:color w:val="000000"/>
                <w:sz w:val="20"/>
              </w:rPr>
            </w:pPr>
            <w:r>
              <w:rPr>
                <w:rFonts w:cs="Arial"/>
                <w:b/>
                <w:color w:val="000000"/>
                <w:sz w:val="20"/>
              </w:rPr>
              <w:t>Substantial</w:t>
            </w:r>
          </w:p>
        </w:tc>
        <w:tc>
          <w:tcPr>
            <w:tcW w:w="5529" w:type="dxa"/>
            <w:shd w:val="clear" w:color="auto" w:fill="auto"/>
          </w:tcPr>
          <w:p w:rsidR="00AE6994" w:rsidRPr="00AE6994" w:rsidRDefault="00AE6994" w:rsidP="00AE6994">
            <w:pPr>
              <w:pStyle w:val="ListParagraph"/>
              <w:ind w:left="0"/>
              <w:rPr>
                <w:rFonts w:ascii="Arial" w:hAnsi="Arial" w:cs="Arial"/>
                <w:color w:val="FF0000"/>
                <w:sz w:val="20"/>
                <w:szCs w:val="20"/>
              </w:rPr>
            </w:pPr>
            <w:r w:rsidRPr="00AE6994">
              <w:rPr>
                <w:rFonts w:ascii="Arial" w:hAnsi="Arial" w:cs="Arial"/>
                <w:sz w:val="20"/>
                <w:szCs w:val="20"/>
              </w:rPr>
              <w:t xml:space="preserve">No significant control weaknesses were identified. Officers are knowledgeable and strive to provide an effective Homelessness Service.  The introduction of the Homelessness Reduction Act will introduce new duties on the Council, and work is already underway to implement the required changes. </w:t>
            </w:r>
          </w:p>
          <w:p w:rsidR="00AE6994" w:rsidRPr="00AE6994" w:rsidRDefault="00AE6994" w:rsidP="00AE6994">
            <w:pPr>
              <w:rPr>
                <w:rFonts w:eastAsia="Calibri" w:cs="Arial"/>
                <w:sz w:val="20"/>
                <w:lang w:eastAsia="en-US"/>
              </w:rPr>
            </w:pPr>
          </w:p>
        </w:tc>
      </w:tr>
      <w:tr w:rsidR="00AE6994" w:rsidRPr="004F34DE" w:rsidTr="00280995">
        <w:trPr>
          <w:trHeight w:val="1017"/>
          <w:jc w:val="center"/>
        </w:trPr>
        <w:tc>
          <w:tcPr>
            <w:tcW w:w="2830" w:type="dxa"/>
            <w:tcBorders>
              <w:top w:val="single" w:sz="4" w:space="0" w:color="auto"/>
            </w:tcBorders>
            <w:shd w:val="clear" w:color="auto" w:fill="auto"/>
            <w:vAlign w:val="center"/>
          </w:tcPr>
          <w:p w:rsidR="00AE6994" w:rsidRPr="004F34DE" w:rsidRDefault="00AE6994" w:rsidP="00AE6994">
            <w:pPr>
              <w:rPr>
                <w:rFonts w:cs="Arial"/>
                <w:sz w:val="20"/>
              </w:rPr>
            </w:pPr>
            <w:r>
              <w:rPr>
                <w:rFonts w:cs="Arial"/>
                <w:sz w:val="20"/>
              </w:rPr>
              <w:t>General Data Protection Regulations</w:t>
            </w:r>
          </w:p>
        </w:tc>
        <w:tc>
          <w:tcPr>
            <w:tcW w:w="5245" w:type="dxa"/>
            <w:shd w:val="clear" w:color="auto" w:fill="auto"/>
          </w:tcPr>
          <w:p w:rsidR="00E658CC" w:rsidRDefault="00E658CC" w:rsidP="00E658CC">
            <w:pPr>
              <w:rPr>
                <w:rFonts w:cs="Arial"/>
                <w:sz w:val="20"/>
              </w:rPr>
            </w:pPr>
            <w:r w:rsidRPr="00E658CC">
              <w:rPr>
                <w:rFonts w:cs="Arial"/>
                <w:sz w:val="20"/>
              </w:rPr>
              <w:t xml:space="preserve">The General Data Protection Regulation (GDPR) will apply within the UK from 25 May 2018.  The main concepts and principles are much the same as those in the current Data Protection Act but there are new elements and significant enhancements that need to be made.  The introduction of the GDPR also increases the financial risk to the Council due to the threat of significant fines.  </w:t>
            </w:r>
          </w:p>
          <w:p w:rsidR="00531A21" w:rsidRDefault="00531A21" w:rsidP="00E658CC">
            <w:pPr>
              <w:rPr>
                <w:rFonts w:cs="Arial"/>
                <w:sz w:val="20"/>
              </w:rPr>
            </w:pPr>
          </w:p>
          <w:p w:rsidR="00AE6994" w:rsidRDefault="00531A21" w:rsidP="00531A21">
            <w:pPr>
              <w:rPr>
                <w:sz w:val="20"/>
              </w:rPr>
            </w:pPr>
            <w:r>
              <w:rPr>
                <w:sz w:val="20"/>
              </w:rPr>
              <w:t>M</w:t>
            </w:r>
            <w:r w:rsidRPr="00C562EA">
              <w:rPr>
                <w:sz w:val="20"/>
              </w:rPr>
              <w:t>ember</w:t>
            </w:r>
            <w:r>
              <w:rPr>
                <w:sz w:val="20"/>
              </w:rPr>
              <w:t xml:space="preserve">s </w:t>
            </w:r>
            <w:r w:rsidRPr="00C562EA">
              <w:rPr>
                <w:sz w:val="20"/>
              </w:rPr>
              <w:t>of the project team to provide advice and guidance on governance, control and risk.</w:t>
            </w:r>
          </w:p>
          <w:p w:rsidR="00531A21" w:rsidRPr="00E658CC" w:rsidRDefault="00531A21" w:rsidP="00531A21">
            <w:pPr>
              <w:rPr>
                <w:rFonts w:cs="Arial"/>
                <w:sz w:val="20"/>
              </w:rPr>
            </w:pPr>
          </w:p>
        </w:tc>
        <w:tc>
          <w:tcPr>
            <w:tcW w:w="2126" w:type="dxa"/>
            <w:shd w:val="clear" w:color="auto" w:fill="FFFFFF" w:themeFill="background1"/>
            <w:vAlign w:val="center"/>
          </w:tcPr>
          <w:p w:rsidR="00AE6994" w:rsidRPr="004F34DE" w:rsidRDefault="00531A21" w:rsidP="00AE6994">
            <w:pPr>
              <w:ind w:right="141"/>
              <w:jc w:val="center"/>
              <w:rPr>
                <w:rFonts w:cs="Arial"/>
                <w:b/>
                <w:color w:val="000000"/>
                <w:sz w:val="20"/>
              </w:rPr>
            </w:pPr>
            <w:r>
              <w:rPr>
                <w:rFonts w:cs="Arial"/>
                <w:b/>
                <w:color w:val="000000"/>
                <w:sz w:val="20"/>
              </w:rPr>
              <w:t>N/A</w:t>
            </w:r>
          </w:p>
        </w:tc>
        <w:tc>
          <w:tcPr>
            <w:tcW w:w="5529" w:type="dxa"/>
            <w:shd w:val="clear" w:color="auto" w:fill="auto"/>
          </w:tcPr>
          <w:p w:rsidR="00531A21" w:rsidRDefault="00531A21" w:rsidP="00531A21">
            <w:pPr>
              <w:rPr>
                <w:rFonts w:cs="Arial"/>
                <w:color w:val="000000"/>
                <w:sz w:val="20"/>
              </w:rPr>
            </w:pPr>
          </w:p>
          <w:p w:rsidR="00AE6994" w:rsidRPr="004F34DE" w:rsidRDefault="00531A21" w:rsidP="00531A21">
            <w:pPr>
              <w:rPr>
                <w:rFonts w:eastAsia="Calibri" w:cs="Arial"/>
                <w:sz w:val="20"/>
                <w:lang w:eastAsia="en-US"/>
              </w:rPr>
            </w:pPr>
            <w:r w:rsidRPr="004F34DE">
              <w:rPr>
                <w:rFonts w:cs="Arial"/>
                <w:color w:val="000000"/>
                <w:sz w:val="20"/>
              </w:rPr>
              <w:t>Proactive input provided rather than an audit / review</w:t>
            </w:r>
          </w:p>
        </w:tc>
      </w:tr>
      <w:tr w:rsidR="004F34DE" w:rsidRPr="004F34DE" w:rsidTr="00280995">
        <w:tblPrEx>
          <w:jc w:val="left"/>
        </w:tblPrEx>
        <w:trPr>
          <w:trHeight w:val="396"/>
        </w:trPr>
        <w:tc>
          <w:tcPr>
            <w:tcW w:w="15730" w:type="dxa"/>
            <w:gridSpan w:val="4"/>
            <w:shd w:val="clear" w:color="auto" w:fill="D9D9D9"/>
          </w:tcPr>
          <w:p w:rsidR="004F34DE" w:rsidRPr="004F34DE" w:rsidRDefault="004F34DE" w:rsidP="004F34DE">
            <w:pPr>
              <w:rPr>
                <w:rFonts w:cs="Arial"/>
                <w:b/>
                <w:sz w:val="20"/>
              </w:rPr>
            </w:pPr>
            <w:r w:rsidRPr="004F34DE">
              <w:rPr>
                <w:rFonts w:cs="Arial"/>
                <w:b/>
                <w:sz w:val="20"/>
              </w:rPr>
              <w:t>SHARED SERVICES</w:t>
            </w:r>
          </w:p>
          <w:p w:rsidR="004F34DE" w:rsidRPr="004F34DE" w:rsidRDefault="004F34DE" w:rsidP="004F34DE">
            <w:pPr>
              <w:rPr>
                <w:rFonts w:cs="Arial"/>
                <w:color w:val="000000"/>
                <w:sz w:val="20"/>
              </w:rPr>
            </w:pPr>
          </w:p>
        </w:tc>
      </w:tr>
      <w:tr w:rsidR="00531A21" w:rsidRPr="004F34DE" w:rsidTr="00280995">
        <w:tblPrEx>
          <w:jc w:val="left"/>
        </w:tblPrEx>
        <w:trPr>
          <w:trHeight w:val="551"/>
        </w:trPr>
        <w:tc>
          <w:tcPr>
            <w:tcW w:w="2830" w:type="dxa"/>
            <w:shd w:val="clear" w:color="auto" w:fill="auto"/>
          </w:tcPr>
          <w:p w:rsidR="00531A21" w:rsidRPr="004F34DE" w:rsidRDefault="00531A21" w:rsidP="00531A21">
            <w:pPr>
              <w:rPr>
                <w:rFonts w:cs="Arial"/>
                <w:color w:val="0070C0"/>
                <w:sz w:val="20"/>
              </w:rPr>
            </w:pPr>
            <w:r w:rsidRPr="004F34DE">
              <w:rPr>
                <w:rFonts w:cs="Arial"/>
                <w:sz w:val="20"/>
              </w:rPr>
              <w:t>Treasury Management</w:t>
            </w:r>
          </w:p>
        </w:tc>
        <w:tc>
          <w:tcPr>
            <w:tcW w:w="5245" w:type="dxa"/>
            <w:tcBorders>
              <w:top w:val="single" w:sz="4" w:space="0" w:color="auto"/>
              <w:left w:val="single" w:sz="4" w:space="0" w:color="auto"/>
              <w:bottom w:val="single" w:sz="4" w:space="0" w:color="auto"/>
              <w:right w:val="nil"/>
            </w:tcBorders>
            <w:shd w:val="clear" w:color="auto" w:fill="auto"/>
          </w:tcPr>
          <w:p w:rsidR="00CB4E93" w:rsidRDefault="00CB4E93" w:rsidP="00CB4E93">
            <w:pPr>
              <w:rPr>
                <w:rFonts w:eastAsiaTheme="minorHAnsi" w:cs="Arial"/>
                <w:sz w:val="20"/>
                <w:lang w:eastAsia="en-US"/>
              </w:rPr>
            </w:pPr>
            <w:r>
              <w:rPr>
                <w:rFonts w:eastAsiaTheme="minorHAnsi" w:cs="Arial"/>
                <w:sz w:val="20"/>
                <w:lang w:eastAsia="en-US"/>
              </w:rPr>
              <w:t>The treasury management service fulfils an important role in the overall financial management of the Council’s affairs.  It deals with ‘the management of the authority’s investments and cashflows, its banking, money market and capital market transactions; the control of the risks associated with those activities; and the pursuit of optimum performance consistent with those risks’ (CIPFA).</w:t>
            </w:r>
          </w:p>
          <w:p w:rsidR="00CB4E93" w:rsidRDefault="00CB4E93" w:rsidP="00CB4E93">
            <w:pPr>
              <w:rPr>
                <w:rFonts w:eastAsiaTheme="minorHAnsi" w:cs="Arial"/>
                <w:sz w:val="20"/>
                <w:lang w:eastAsia="en-US"/>
              </w:rPr>
            </w:pPr>
          </w:p>
          <w:p w:rsidR="00531A21" w:rsidRDefault="00CB4E93" w:rsidP="00CB4E93">
            <w:pPr>
              <w:rPr>
                <w:sz w:val="20"/>
              </w:rPr>
            </w:pPr>
            <w:r>
              <w:rPr>
                <w:sz w:val="20"/>
              </w:rPr>
              <w:t>The average daily investment figure for 2017/18 stands at £31.841m with no borrowings.</w:t>
            </w:r>
          </w:p>
          <w:p w:rsidR="00CB4E93" w:rsidRDefault="00CB4E93" w:rsidP="00CB4E93">
            <w:pPr>
              <w:rPr>
                <w:sz w:val="20"/>
              </w:rPr>
            </w:pPr>
          </w:p>
          <w:p w:rsidR="00CB4E93" w:rsidRDefault="00CB4E93" w:rsidP="00CB4E93">
            <w:pPr>
              <w:rPr>
                <w:rFonts w:cs="Arial"/>
                <w:sz w:val="20"/>
              </w:rPr>
            </w:pPr>
            <w:r w:rsidRPr="00AE6994">
              <w:rPr>
                <w:rFonts w:cs="Arial"/>
                <w:sz w:val="20"/>
              </w:rPr>
              <w:t xml:space="preserve">The objective of the audit </w:t>
            </w:r>
            <w:r>
              <w:rPr>
                <w:rFonts w:cs="Arial"/>
                <w:sz w:val="20"/>
              </w:rPr>
              <w:t>was</w:t>
            </w:r>
            <w:r w:rsidRPr="00AE6994">
              <w:rPr>
                <w:rFonts w:cs="Arial"/>
                <w:sz w:val="20"/>
              </w:rPr>
              <w:t xml:space="preserve"> to provide assurance or otherwise on the adequacy and effectiveness of the key controls implemented by management to ensure that the identified risks are being sufficiently managed</w:t>
            </w:r>
            <w:r>
              <w:rPr>
                <w:rFonts w:cs="Arial"/>
                <w:sz w:val="20"/>
              </w:rPr>
              <w:t>.</w:t>
            </w:r>
          </w:p>
          <w:p w:rsidR="000276C1" w:rsidRPr="004F34DE" w:rsidRDefault="000276C1" w:rsidP="00CB4E93">
            <w:pPr>
              <w:rPr>
                <w:rFonts w:cs="Arial"/>
                <w:sz w:val="20"/>
              </w:rPr>
            </w:pPr>
          </w:p>
        </w:tc>
        <w:tc>
          <w:tcPr>
            <w:tcW w:w="2126" w:type="dxa"/>
            <w:shd w:val="clear" w:color="auto" w:fill="FFC000"/>
          </w:tcPr>
          <w:p w:rsidR="00531A21" w:rsidRPr="004F34DE" w:rsidRDefault="00531A21" w:rsidP="00531A21">
            <w:pPr>
              <w:jc w:val="center"/>
              <w:rPr>
                <w:rFonts w:cs="Arial"/>
                <w:b/>
                <w:color w:val="000000"/>
                <w:sz w:val="20"/>
              </w:rPr>
            </w:pPr>
          </w:p>
          <w:p w:rsidR="00531A21" w:rsidRDefault="00531A21" w:rsidP="00CB4E93">
            <w:pPr>
              <w:jc w:val="center"/>
              <w:rPr>
                <w:rFonts w:cs="Arial"/>
                <w:b/>
                <w:color w:val="000000"/>
                <w:sz w:val="20"/>
              </w:rPr>
            </w:pPr>
            <w:r w:rsidRPr="004F34DE">
              <w:rPr>
                <w:rFonts w:cs="Arial"/>
                <w:b/>
                <w:color w:val="000000"/>
                <w:sz w:val="20"/>
              </w:rPr>
              <w:t>Amber (</w:t>
            </w:r>
            <w:r w:rsidR="00CB4E93">
              <w:rPr>
                <w:rFonts w:cs="Arial"/>
                <w:b/>
                <w:color w:val="000000"/>
                <w:sz w:val="20"/>
              </w:rPr>
              <w:t>8</w:t>
            </w:r>
            <w:r w:rsidRPr="004F34DE">
              <w:rPr>
                <w:rFonts w:cs="Arial"/>
                <w:b/>
                <w:color w:val="000000"/>
                <w:sz w:val="20"/>
              </w:rPr>
              <w:t>)</w:t>
            </w:r>
          </w:p>
          <w:p w:rsidR="00CB4E93" w:rsidRPr="004F34DE" w:rsidRDefault="00CB4E93" w:rsidP="00CB4E93">
            <w:pPr>
              <w:jc w:val="center"/>
              <w:rPr>
                <w:rFonts w:cs="Arial"/>
                <w:b/>
                <w:color w:val="000000"/>
                <w:sz w:val="20"/>
              </w:rPr>
            </w:pPr>
            <w:r>
              <w:rPr>
                <w:rFonts w:cs="Arial"/>
                <w:b/>
                <w:color w:val="000000"/>
                <w:sz w:val="20"/>
              </w:rPr>
              <w:t>Substantial</w:t>
            </w:r>
          </w:p>
        </w:tc>
        <w:tc>
          <w:tcPr>
            <w:tcW w:w="5529" w:type="dxa"/>
            <w:shd w:val="clear" w:color="auto" w:fill="auto"/>
          </w:tcPr>
          <w:p w:rsidR="00CB4E93" w:rsidRPr="00CB4E93" w:rsidRDefault="00CB4E93" w:rsidP="00CB4E93">
            <w:pPr>
              <w:pStyle w:val="ListParagraph"/>
              <w:ind w:left="0"/>
              <w:rPr>
                <w:rFonts w:ascii="Arial" w:hAnsi="Arial" w:cs="Arial"/>
                <w:sz w:val="20"/>
                <w:szCs w:val="20"/>
              </w:rPr>
            </w:pPr>
            <w:r w:rsidRPr="00CB4E93">
              <w:rPr>
                <w:rFonts w:ascii="Arial" w:hAnsi="Arial" w:cs="Arial"/>
                <w:sz w:val="20"/>
                <w:szCs w:val="20"/>
              </w:rPr>
              <w:t xml:space="preserve">The controls in place for the management and administration of Treasury Management provide substantial assurance and only  minor control weaknesses </w:t>
            </w:r>
            <w:r>
              <w:rPr>
                <w:rFonts w:ascii="Arial" w:hAnsi="Arial" w:cs="Arial"/>
                <w:sz w:val="20"/>
                <w:szCs w:val="20"/>
              </w:rPr>
              <w:t xml:space="preserve">identified relating to the frequency and verification of reconciliations.  </w:t>
            </w:r>
          </w:p>
          <w:p w:rsidR="00531A21" w:rsidRPr="00CB4E93" w:rsidRDefault="00531A21" w:rsidP="00531A21">
            <w:pPr>
              <w:rPr>
                <w:rFonts w:cs="Arial"/>
                <w:sz w:val="20"/>
              </w:rPr>
            </w:pPr>
          </w:p>
        </w:tc>
      </w:tr>
      <w:tr w:rsidR="00531A21" w:rsidRPr="004F34DE" w:rsidTr="00280995">
        <w:tblPrEx>
          <w:jc w:val="left"/>
        </w:tblPrEx>
        <w:trPr>
          <w:trHeight w:val="521"/>
        </w:trPr>
        <w:tc>
          <w:tcPr>
            <w:tcW w:w="2830" w:type="dxa"/>
            <w:shd w:val="clear" w:color="auto" w:fill="auto"/>
          </w:tcPr>
          <w:p w:rsidR="00531A21" w:rsidRPr="004F34DE" w:rsidRDefault="00531A21" w:rsidP="00531A21">
            <w:pPr>
              <w:rPr>
                <w:rFonts w:cs="Arial"/>
                <w:sz w:val="20"/>
              </w:rPr>
            </w:pPr>
            <w:r w:rsidRPr="004F34DE">
              <w:rPr>
                <w:rFonts w:cs="Arial"/>
                <w:sz w:val="20"/>
              </w:rPr>
              <w:t>Payroll</w:t>
            </w:r>
          </w:p>
          <w:p w:rsidR="00531A21" w:rsidRPr="004F34DE" w:rsidRDefault="00531A21" w:rsidP="00531A21">
            <w:pPr>
              <w:rPr>
                <w:rFonts w:cs="Arial"/>
                <w:color w:val="0070C0"/>
                <w:sz w:val="20"/>
              </w:rPr>
            </w:pPr>
          </w:p>
        </w:tc>
        <w:tc>
          <w:tcPr>
            <w:tcW w:w="5245" w:type="dxa"/>
            <w:tcBorders>
              <w:top w:val="single" w:sz="4" w:space="0" w:color="auto"/>
              <w:left w:val="single" w:sz="4" w:space="0" w:color="auto"/>
              <w:bottom w:val="single" w:sz="4" w:space="0" w:color="auto"/>
              <w:right w:val="nil"/>
            </w:tcBorders>
            <w:shd w:val="clear" w:color="auto" w:fill="auto"/>
          </w:tcPr>
          <w:p w:rsidR="00CB4E93" w:rsidRDefault="00CB4E93" w:rsidP="00CB4E93">
            <w:pPr>
              <w:rPr>
                <w:rFonts w:cs="Arial"/>
                <w:sz w:val="20"/>
              </w:rPr>
            </w:pPr>
            <w:r w:rsidRPr="00CB4E93">
              <w:rPr>
                <w:rFonts w:cs="Arial"/>
                <w:sz w:val="20"/>
              </w:rPr>
              <w:t xml:space="preserve">Staff costs form a significant proportion of the Council’s expenditure. Control of staff costs is a key component to the financial success of the Council. Therefore having a robust and reliable payroll service to make payments to staff promptly and accurately, and to provide information to management on the payments made is essential.  </w:t>
            </w:r>
          </w:p>
          <w:p w:rsidR="00CB4E93" w:rsidRDefault="00CB4E93" w:rsidP="00CB4E93">
            <w:pPr>
              <w:rPr>
                <w:rFonts w:cs="Arial"/>
                <w:sz w:val="20"/>
              </w:rPr>
            </w:pPr>
          </w:p>
          <w:p w:rsidR="00CB4E93" w:rsidRPr="00CB4E93" w:rsidRDefault="00CB4E93" w:rsidP="00CB4E93">
            <w:pPr>
              <w:rPr>
                <w:rFonts w:cs="Arial"/>
                <w:sz w:val="20"/>
              </w:rPr>
            </w:pPr>
            <w:r w:rsidRPr="00AE6994">
              <w:rPr>
                <w:rFonts w:cs="Arial"/>
                <w:sz w:val="20"/>
              </w:rPr>
              <w:t xml:space="preserve">The objective of the audit </w:t>
            </w:r>
            <w:r>
              <w:rPr>
                <w:rFonts w:cs="Arial"/>
                <w:sz w:val="20"/>
              </w:rPr>
              <w:t>was</w:t>
            </w:r>
            <w:r w:rsidRPr="00AE6994">
              <w:rPr>
                <w:rFonts w:cs="Arial"/>
                <w:sz w:val="20"/>
              </w:rPr>
              <w:t xml:space="preserve"> to provide assurance or otherwise on the adequacy and effectiveness of the key controls implemented by management to ensure that the identified risks are being sufficiently managed</w:t>
            </w:r>
            <w:r>
              <w:rPr>
                <w:rFonts w:cs="Arial"/>
                <w:sz w:val="20"/>
              </w:rPr>
              <w:t>.</w:t>
            </w:r>
          </w:p>
          <w:p w:rsidR="00531A21" w:rsidRPr="00CB4E93" w:rsidRDefault="00531A21" w:rsidP="00531A21">
            <w:pPr>
              <w:rPr>
                <w:rFonts w:cs="Arial"/>
                <w:sz w:val="20"/>
              </w:rPr>
            </w:pPr>
          </w:p>
        </w:tc>
        <w:tc>
          <w:tcPr>
            <w:tcW w:w="2126" w:type="dxa"/>
            <w:shd w:val="clear" w:color="auto" w:fill="FFC000"/>
          </w:tcPr>
          <w:p w:rsidR="00531A21" w:rsidRPr="004F34DE" w:rsidRDefault="00531A21" w:rsidP="00531A21">
            <w:pPr>
              <w:jc w:val="center"/>
              <w:rPr>
                <w:rFonts w:cs="Arial"/>
                <w:b/>
                <w:color w:val="000000"/>
                <w:sz w:val="20"/>
              </w:rPr>
            </w:pPr>
          </w:p>
          <w:p w:rsidR="00531A21" w:rsidRDefault="00531A21" w:rsidP="00CB4E93">
            <w:pPr>
              <w:jc w:val="center"/>
              <w:rPr>
                <w:rFonts w:cs="Arial"/>
                <w:b/>
                <w:color w:val="000000"/>
                <w:sz w:val="20"/>
              </w:rPr>
            </w:pPr>
            <w:r w:rsidRPr="004F34DE">
              <w:rPr>
                <w:rFonts w:cs="Arial"/>
                <w:b/>
                <w:color w:val="000000"/>
                <w:sz w:val="20"/>
              </w:rPr>
              <w:t>Amber (</w:t>
            </w:r>
            <w:r w:rsidR="00CB4E93">
              <w:rPr>
                <w:rFonts w:cs="Arial"/>
                <w:b/>
                <w:color w:val="000000"/>
                <w:sz w:val="20"/>
              </w:rPr>
              <w:t>8</w:t>
            </w:r>
            <w:r w:rsidRPr="004F34DE">
              <w:rPr>
                <w:rFonts w:cs="Arial"/>
                <w:b/>
                <w:color w:val="000000"/>
                <w:sz w:val="20"/>
              </w:rPr>
              <w:t>)</w:t>
            </w:r>
          </w:p>
          <w:p w:rsidR="00CB4E93" w:rsidRPr="004F34DE" w:rsidRDefault="00CB4E93" w:rsidP="00CB4E93">
            <w:pPr>
              <w:jc w:val="center"/>
              <w:rPr>
                <w:rFonts w:cs="Arial"/>
                <w:b/>
                <w:color w:val="000000"/>
                <w:sz w:val="20"/>
              </w:rPr>
            </w:pPr>
            <w:r>
              <w:rPr>
                <w:rFonts w:cs="Arial"/>
                <w:b/>
                <w:color w:val="000000"/>
                <w:sz w:val="20"/>
              </w:rPr>
              <w:t>Substantial</w:t>
            </w:r>
          </w:p>
        </w:tc>
        <w:tc>
          <w:tcPr>
            <w:tcW w:w="5529" w:type="dxa"/>
            <w:shd w:val="clear" w:color="auto" w:fill="auto"/>
          </w:tcPr>
          <w:p w:rsidR="00146728" w:rsidRPr="00146728" w:rsidRDefault="00146728" w:rsidP="00146728">
            <w:pPr>
              <w:rPr>
                <w:rFonts w:ascii="Calibri" w:hAnsi="Calibri"/>
                <w:sz w:val="20"/>
              </w:rPr>
            </w:pPr>
            <w:r w:rsidRPr="00146728">
              <w:rPr>
                <w:sz w:val="20"/>
              </w:rPr>
              <w:t xml:space="preserve">No significant control weaknesses were identified however HR payroll reconciliations should be carried out more frequently and evidence documenting payroll budget holder sign-off should be re-introduced.  In addition improvements should be made to HR documentation retention to improve the audit trail.    </w:t>
            </w:r>
          </w:p>
          <w:p w:rsidR="00531A21" w:rsidRPr="004F34DE" w:rsidRDefault="00531A21" w:rsidP="00531A21">
            <w:pPr>
              <w:rPr>
                <w:rFonts w:cs="Arial"/>
                <w:sz w:val="20"/>
              </w:rPr>
            </w:pPr>
          </w:p>
        </w:tc>
      </w:tr>
      <w:tr w:rsidR="00531A21" w:rsidRPr="004F34DE" w:rsidTr="00280995">
        <w:tblPrEx>
          <w:jc w:val="left"/>
        </w:tblPrEx>
        <w:trPr>
          <w:trHeight w:val="551"/>
        </w:trPr>
        <w:tc>
          <w:tcPr>
            <w:tcW w:w="2830" w:type="dxa"/>
            <w:shd w:val="clear" w:color="auto" w:fill="auto"/>
          </w:tcPr>
          <w:p w:rsidR="00531A21" w:rsidRPr="004F34DE" w:rsidRDefault="00531A21" w:rsidP="0008107F">
            <w:pPr>
              <w:rPr>
                <w:rFonts w:cs="Arial"/>
                <w:sz w:val="20"/>
              </w:rPr>
            </w:pPr>
            <w:r w:rsidRPr="004F34DE">
              <w:rPr>
                <w:rFonts w:cs="Arial"/>
                <w:sz w:val="20"/>
              </w:rPr>
              <w:t>Creditors</w:t>
            </w:r>
          </w:p>
          <w:p w:rsidR="00531A21" w:rsidRPr="004F34DE" w:rsidRDefault="00531A21" w:rsidP="0008107F">
            <w:pPr>
              <w:rPr>
                <w:rFonts w:cs="Arial"/>
                <w:sz w:val="20"/>
              </w:rPr>
            </w:pPr>
          </w:p>
        </w:tc>
        <w:tc>
          <w:tcPr>
            <w:tcW w:w="5245" w:type="dxa"/>
            <w:tcBorders>
              <w:top w:val="single" w:sz="4" w:space="0" w:color="auto"/>
              <w:left w:val="single" w:sz="4" w:space="0" w:color="auto"/>
              <w:bottom w:val="single" w:sz="4" w:space="0" w:color="auto"/>
              <w:right w:val="nil"/>
            </w:tcBorders>
            <w:shd w:val="clear" w:color="auto" w:fill="auto"/>
          </w:tcPr>
          <w:p w:rsidR="00531A21" w:rsidRDefault="00BF60F7" w:rsidP="0008107F">
            <w:pPr>
              <w:rPr>
                <w:rFonts w:eastAsiaTheme="minorHAnsi"/>
                <w:sz w:val="20"/>
              </w:rPr>
            </w:pPr>
            <w:r w:rsidRPr="00BF60F7">
              <w:rPr>
                <w:rFonts w:eastAsiaTheme="minorHAnsi"/>
                <w:sz w:val="20"/>
              </w:rPr>
              <w:t>The Council's Creditors (accounts payable) function is maintained by Shared Financial Services. The Section is responsible for the processing of purchase orders, invoices and for payment of creditors of the Council using Authority Web.</w:t>
            </w:r>
          </w:p>
          <w:p w:rsidR="00BF60F7" w:rsidRDefault="00BF60F7" w:rsidP="0008107F">
            <w:pPr>
              <w:rPr>
                <w:rFonts w:eastAsiaTheme="minorHAnsi"/>
                <w:sz w:val="20"/>
              </w:rPr>
            </w:pPr>
          </w:p>
          <w:p w:rsidR="00BF60F7" w:rsidRPr="00CB4E93" w:rsidRDefault="00BF60F7" w:rsidP="00BF60F7">
            <w:pPr>
              <w:rPr>
                <w:rFonts w:cs="Arial"/>
                <w:sz w:val="20"/>
              </w:rPr>
            </w:pPr>
            <w:r w:rsidRPr="00AE6994">
              <w:rPr>
                <w:rFonts w:cs="Arial"/>
                <w:sz w:val="20"/>
              </w:rPr>
              <w:t xml:space="preserve">The objective of the audit </w:t>
            </w:r>
            <w:r>
              <w:rPr>
                <w:rFonts w:cs="Arial"/>
                <w:sz w:val="20"/>
              </w:rPr>
              <w:t>was</w:t>
            </w:r>
            <w:r w:rsidRPr="00AE6994">
              <w:rPr>
                <w:rFonts w:cs="Arial"/>
                <w:sz w:val="20"/>
              </w:rPr>
              <w:t xml:space="preserve"> to provide assurance or otherwise on the adequacy and effectiveness of the key controls implemented by management to ensure that the identified risks are being sufficiently managed</w:t>
            </w:r>
            <w:r>
              <w:rPr>
                <w:rFonts w:cs="Arial"/>
                <w:sz w:val="20"/>
              </w:rPr>
              <w:t>.</w:t>
            </w:r>
          </w:p>
          <w:p w:rsidR="00BF60F7" w:rsidRPr="00BF60F7" w:rsidRDefault="00BF60F7" w:rsidP="0008107F">
            <w:pPr>
              <w:rPr>
                <w:rFonts w:cs="Arial"/>
                <w:sz w:val="20"/>
              </w:rPr>
            </w:pPr>
          </w:p>
        </w:tc>
        <w:tc>
          <w:tcPr>
            <w:tcW w:w="2126" w:type="dxa"/>
            <w:shd w:val="clear" w:color="auto" w:fill="FFC000"/>
          </w:tcPr>
          <w:p w:rsidR="00531A21" w:rsidRPr="004F34DE" w:rsidRDefault="00531A21" w:rsidP="0008107F">
            <w:pPr>
              <w:jc w:val="center"/>
              <w:rPr>
                <w:rFonts w:cs="Arial"/>
                <w:b/>
                <w:color w:val="000000"/>
                <w:sz w:val="20"/>
              </w:rPr>
            </w:pPr>
          </w:p>
          <w:p w:rsidR="00531A21" w:rsidRDefault="00531A21" w:rsidP="00BF60F7">
            <w:pPr>
              <w:jc w:val="center"/>
              <w:rPr>
                <w:rFonts w:cs="Arial"/>
                <w:b/>
                <w:color w:val="000000"/>
                <w:sz w:val="20"/>
              </w:rPr>
            </w:pPr>
            <w:r w:rsidRPr="004F34DE">
              <w:rPr>
                <w:rFonts w:cs="Arial"/>
                <w:b/>
                <w:color w:val="000000"/>
                <w:sz w:val="20"/>
              </w:rPr>
              <w:t>Amber (</w:t>
            </w:r>
            <w:r w:rsidR="00BF60F7">
              <w:rPr>
                <w:rFonts w:cs="Arial"/>
                <w:b/>
                <w:color w:val="000000"/>
                <w:sz w:val="20"/>
              </w:rPr>
              <w:t>4</w:t>
            </w:r>
            <w:r w:rsidRPr="004F34DE">
              <w:rPr>
                <w:rFonts w:cs="Arial"/>
                <w:b/>
                <w:color w:val="000000"/>
                <w:sz w:val="20"/>
              </w:rPr>
              <w:t>)</w:t>
            </w:r>
          </w:p>
          <w:p w:rsidR="00BF60F7" w:rsidRPr="004F34DE" w:rsidRDefault="00BF60F7" w:rsidP="00BF60F7">
            <w:pPr>
              <w:jc w:val="center"/>
              <w:rPr>
                <w:rFonts w:cs="Arial"/>
                <w:b/>
                <w:color w:val="000000"/>
                <w:sz w:val="20"/>
              </w:rPr>
            </w:pPr>
            <w:r>
              <w:rPr>
                <w:rFonts w:cs="Arial"/>
                <w:b/>
                <w:color w:val="000000"/>
                <w:sz w:val="20"/>
              </w:rPr>
              <w:t>Full</w:t>
            </w:r>
          </w:p>
        </w:tc>
        <w:tc>
          <w:tcPr>
            <w:tcW w:w="5529" w:type="dxa"/>
            <w:shd w:val="clear" w:color="auto" w:fill="auto"/>
          </w:tcPr>
          <w:p w:rsidR="00531A21" w:rsidRPr="004F34DE" w:rsidRDefault="00531A21" w:rsidP="0008107F">
            <w:pPr>
              <w:rPr>
                <w:rFonts w:cs="Arial"/>
                <w:sz w:val="20"/>
              </w:rPr>
            </w:pPr>
            <w:r w:rsidRPr="004F34DE">
              <w:rPr>
                <w:rFonts w:cs="Arial"/>
                <w:sz w:val="20"/>
              </w:rPr>
              <w:t>No key control issues were identified.</w:t>
            </w:r>
          </w:p>
        </w:tc>
      </w:tr>
      <w:tr w:rsidR="00531A21" w:rsidRPr="004F34DE" w:rsidTr="00280995">
        <w:tblPrEx>
          <w:jc w:val="left"/>
        </w:tblPrEx>
        <w:trPr>
          <w:trHeight w:val="561"/>
        </w:trPr>
        <w:tc>
          <w:tcPr>
            <w:tcW w:w="2830" w:type="dxa"/>
            <w:shd w:val="clear" w:color="auto" w:fill="auto"/>
          </w:tcPr>
          <w:p w:rsidR="00531A21" w:rsidRPr="004F34DE" w:rsidRDefault="00BF60F7" w:rsidP="00531A21">
            <w:pPr>
              <w:rPr>
                <w:rFonts w:cs="Arial"/>
                <w:sz w:val="20"/>
              </w:rPr>
            </w:pPr>
            <w:r>
              <w:rPr>
                <w:rFonts w:cs="Arial"/>
                <w:sz w:val="20"/>
              </w:rPr>
              <w:t>Risk Management</w:t>
            </w:r>
          </w:p>
        </w:tc>
        <w:tc>
          <w:tcPr>
            <w:tcW w:w="5245" w:type="dxa"/>
            <w:tcBorders>
              <w:top w:val="single" w:sz="4" w:space="0" w:color="auto"/>
              <w:left w:val="single" w:sz="4" w:space="0" w:color="auto"/>
              <w:bottom w:val="single" w:sz="4" w:space="0" w:color="auto"/>
              <w:right w:val="nil"/>
            </w:tcBorders>
            <w:shd w:val="clear" w:color="auto" w:fill="auto"/>
          </w:tcPr>
          <w:p w:rsidR="00BF60F7" w:rsidRDefault="00BF60F7" w:rsidP="00BF60F7">
            <w:pPr>
              <w:autoSpaceDE w:val="0"/>
              <w:autoSpaceDN w:val="0"/>
              <w:adjustRightInd w:val="0"/>
              <w:rPr>
                <w:rFonts w:cs="Arial"/>
                <w:sz w:val="20"/>
              </w:rPr>
            </w:pPr>
            <w:r w:rsidRPr="00BF60F7">
              <w:rPr>
                <w:rFonts w:cs="Arial"/>
                <w:sz w:val="20"/>
              </w:rPr>
              <w:t xml:space="preserve">The Risk Management Framework is a key contributor to the internal assurance processes and the production of the Annual Governance Statement which reports the extent to which the Council has complied with its Governance Code. The GRACE (Governance, Risk Assessment &amp; Control Evaluation) system has been adopted for use within the Council to enable the completion of risk registers at all levels including the Strategic Risk Register and those in relation key projects, procurements, partnerships and processes. </w:t>
            </w:r>
          </w:p>
          <w:p w:rsidR="00C24734" w:rsidRDefault="00C24734" w:rsidP="00BF60F7">
            <w:pPr>
              <w:autoSpaceDE w:val="0"/>
              <w:autoSpaceDN w:val="0"/>
              <w:adjustRightInd w:val="0"/>
              <w:rPr>
                <w:rFonts w:cs="Arial"/>
                <w:sz w:val="20"/>
              </w:rPr>
            </w:pPr>
          </w:p>
          <w:p w:rsidR="00C24734" w:rsidRDefault="00C24734" w:rsidP="00BF60F7">
            <w:pPr>
              <w:autoSpaceDE w:val="0"/>
              <w:autoSpaceDN w:val="0"/>
              <w:adjustRightInd w:val="0"/>
              <w:rPr>
                <w:rFonts w:cs="Arial"/>
                <w:sz w:val="20"/>
              </w:rPr>
            </w:pPr>
          </w:p>
          <w:p w:rsidR="00C24734" w:rsidRPr="00CB4E93" w:rsidRDefault="00C24734" w:rsidP="00C24734">
            <w:pPr>
              <w:rPr>
                <w:rFonts w:cs="Arial"/>
                <w:sz w:val="20"/>
              </w:rPr>
            </w:pPr>
            <w:r w:rsidRPr="00AE6994">
              <w:rPr>
                <w:rFonts w:cs="Arial"/>
                <w:sz w:val="20"/>
              </w:rPr>
              <w:t xml:space="preserve">The objective of the audit </w:t>
            </w:r>
            <w:r>
              <w:rPr>
                <w:rFonts w:cs="Arial"/>
                <w:sz w:val="20"/>
              </w:rPr>
              <w:t>was</w:t>
            </w:r>
            <w:r w:rsidRPr="00AE6994">
              <w:rPr>
                <w:rFonts w:cs="Arial"/>
                <w:sz w:val="20"/>
              </w:rPr>
              <w:t xml:space="preserve"> to provide assurance or otherwise on the adequacy and effectiveness of the key controls implemented by management to ensure that the identified risks are being sufficiently managed</w:t>
            </w:r>
            <w:r>
              <w:rPr>
                <w:rFonts w:cs="Arial"/>
                <w:sz w:val="20"/>
              </w:rPr>
              <w:t>.</w:t>
            </w:r>
          </w:p>
          <w:p w:rsidR="00C24734" w:rsidRPr="00BF60F7" w:rsidRDefault="00C24734" w:rsidP="00BF60F7">
            <w:pPr>
              <w:autoSpaceDE w:val="0"/>
              <w:autoSpaceDN w:val="0"/>
              <w:adjustRightInd w:val="0"/>
              <w:rPr>
                <w:rFonts w:cs="Arial"/>
                <w:sz w:val="20"/>
              </w:rPr>
            </w:pPr>
          </w:p>
          <w:p w:rsidR="00531A21" w:rsidRPr="004F34DE" w:rsidRDefault="00531A21" w:rsidP="00531A21">
            <w:pPr>
              <w:rPr>
                <w:rFonts w:cs="Arial"/>
                <w:sz w:val="20"/>
              </w:rPr>
            </w:pPr>
          </w:p>
        </w:tc>
        <w:tc>
          <w:tcPr>
            <w:tcW w:w="2126" w:type="dxa"/>
            <w:shd w:val="clear" w:color="auto" w:fill="FFC000"/>
          </w:tcPr>
          <w:p w:rsidR="00851200" w:rsidRDefault="00851200" w:rsidP="00851200">
            <w:pPr>
              <w:jc w:val="center"/>
              <w:rPr>
                <w:rFonts w:cs="Arial"/>
                <w:b/>
                <w:color w:val="000000"/>
                <w:sz w:val="20"/>
              </w:rPr>
            </w:pPr>
          </w:p>
          <w:p w:rsidR="00851200" w:rsidRDefault="00851200" w:rsidP="00851200">
            <w:pPr>
              <w:jc w:val="center"/>
              <w:rPr>
                <w:rFonts w:cs="Arial"/>
                <w:b/>
                <w:color w:val="000000"/>
                <w:sz w:val="20"/>
              </w:rPr>
            </w:pPr>
            <w:r w:rsidRPr="004F34DE">
              <w:rPr>
                <w:rFonts w:cs="Arial"/>
                <w:b/>
                <w:color w:val="000000"/>
                <w:sz w:val="20"/>
              </w:rPr>
              <w:t>Amber (</w:t>
            </w:r>
            <w:r>
              <w:rPr>
                <w:rFonts w:cs="Arial"/>
                <w:b/>
                <w:color w:val="000000"/>
                <w:sz w:val="20"/>
              </w:rPr>
              <w:t>8</w:t>
            </w:r>
            <w:r w:rsidRPr="004F34DE">
              <w:rPr>
                <w:rFonts w:cs="Arial"/>
                <w:b/>
                <w:color w:val="000000"/>
                <w:sz w:val="20"/>
              </w:rPr>
              <w:t>)</w:t>
            </w:r>
          </w:p>
          <w:p w:rsidR="00531A21" w:rsidRPr="004F34DE" w:rsidRDefault="00851200" w:rsidP="00851200">
            <w:pPr>
              <w:jc w:val="center"/>
              <w:rPr>
                <w:rFonts w:cs="Arial"/>
                <w:b/>
                <w:color w:val="000000"/>
                <w:sz w:val="20"/>
              </w:rPr>
            </w:pPr>
            <w:r>
              <w:rPr>
                <w:rFonts w:cs="Arial"/>
                <w:b/>
                <w:color w:val="000000"/>
                <w:sz w:val="20"/>
              </w:rPr>
              <w:t>Substantial</w:t>
            </w:r>
          </w:p>
        </w:tc>
        <w:tc>
          <w:tcPr>
            <w:tcW w:w="5529" w:type="dxa"/>
            <w:shd w:val="clear" w:color="auto" w:fill="auto"/>
          </w:tcPr>
          <w:p w:rsidR="00531A21" w:rsidRPr="004F34DE" w:rsidRDefault="00961FC6" w:rsidP="00531A21">
            <w:pPr>
              <w:rPr>
                <w:rFonts w:cs="Arial"/>
                <w:sz w:val="20"/>
              </w:rPr>
            </w:pPr>
            <w:r>
              <w:rPr>
                <w:rFonts w:cs="Arial"/>
                <w:sz w:val="20"/>
              </w:rPr>
              <w:t>To be completed once report received</w:t>
            </w:r>
          </w:p>
        </w:tc>
      </w:tr>
    </w:tbl>
    <w:p w:rsidR="004F34DE" w:rsidRPr="004F34DE" w:rsidRDefault="004F34DE" w:rsidP="004F34DE"/>
    <w:p w:rsidR="004F34DE" w:rsidRPr="004F34DE" w:rsidRDefault="004F34DE" w:rsidP="004F34DE">
      <w:pPr>
        <w:rPr>
          <w:szCs w:val="22"/>
        </w:rPr>
        <w:sectPr w:rsidR="004F34DE" w:rsidRPr="004F34DE" w:rsidSect="004F34DE">
          <w:type w:val="continuous"/>
          <w:pgSz w:w="16840" w:h="11907" w:orient="landscape" w:code="9"/>
          <w:pgMar w:top="992" w:right="374" w:bottom="1134" w:left="851" w:header="680" w:footer="374" w:gutter="0"/>
          <w:cols w:space="720"/>
          <w:titlePg/>
          <w:docGrid w:linePitch="326"/>
        </w:sectPr>
      </w:pPr>
      <w:r w:rsidRPr="004F34DE">
        <w:rPr>
          <w:szCs w:val="22"/>
        </w:rPr>
        <w:tab/>
      </w:r>
    </w:p>
    <w:p w:rsidR="004F34DE" w:rsidRPr="004F34DE" w:rsidRDefault="004F34DE" w:rsidP="004F34DE">
      <w:pPr>
        <w:rPr>
          <w:color w:val="FF0000"/>
        </w:rPr>
      </w:pPr>
    </w:p>
    <w:p w:rsidR="004F34DE" w:rsidRPr="004F34DE" w:rsidRDefault="004F34DE" w:rsidP="004F34DE">
      <w:pPr>
        <w:rPr>
          <w:rFonts w:ascii="Courier New" w:hAnsi="Courier New" w:cs="Courier New"/>
          <w:szCs w:val="22"/>
        </w:rPr>
      </w:pPr>
    </w:p>
    <w:p w:rsidR="004F34DE" w:rsidRPr="004F34DE" w:rsidRDefault="004F34DE" w:rsidP="004F34DE">
      <w:pPr>
        <w:tabs>
          <w:tab w:val="left" w:pos="2839"/>
        </w:tabs>
        <w:ind w:left="720"/>
        <w:rPr>
          <w:b/>
          <w:szCs w:val="22"/>
        </w:rPr>
      </w:pPr>
    </w:p>
    <w:p w:rsidR="00606A6A" w:rsidRPr="00BB0F20" w:rsidRDefault="00606A6A" w:rsidP="00606A6A">
      <w:pPr>
        <w:ind w:firstLine="720"/>
        <w:jc w:val="right"/>
        <w:rPr>
          <w:b/>
        </w:rPr>
      </w:pPr>
      <w:r w:rsidRPr="00BB0F20">
        <w:rPr>
          <w:b/>
        </w:rPr>
        <w:t>APPENDIX 2</w:t>
      </w:r>
      <w:r w:rsidRPr="00BB0F20">
        <w:rPr>
          <w:b/>
        </w:rPr>
        <w:tab/>
      </w:r>
    </w:p>
    <w:p w:rsidR="00606A6A" w:rsidRPr="00BB0F20" w:rsidRDefault="00606A6A" w:rsidP="00606A6A">
      <w:pPr>
        <w:ind w:firstLine="720"/>
        <w:jc w:val="right"/>
        <w:rPr>
          <w:b/>
        </w:rPr>
      </w:pPr>
      <w:r w:rsidRPr="00BB0F20">
        <w:rPr>
          <w:b/>
        </w:rPr>
        <w:tab/>
      </w:r>
    </w:p>
    <w:p w:rsidR="00606A6A" w:rsidRPr="00BB0F20" w:rsidRDefault="00606A6A" w:rsidP="00606A6A">
      <w:pPr>
        <w:ind w:firstLine="720"/>
        <w:jc w:val="right"/>
        <w:rPr>
          <w:b/>
          <w:sz w:val="20"/>
        </w:rPr>
      </w:pPr>
      <w:r w:rsidRPr="00BB0F20">
        <w:rPr>
          <w:b/>
        </w:rPr>
        <w:tab/>
      </w:r>
      <w:r w:rsidRPr="00BB0F20">
        <w:rPr>
          <w:b/>
        </w:rPr>
        <w:tab/>
      </w:r>
    </w:p>
    <w:p w:rsidR="00606A6A" w:rsidRPr="00BB0F20" w:rsidRDefault="00606A6A" w:rsidP="00606A6A">
      <w:pPr>
        <w:tabs>
          <w:tab w:val="left" w:pos="1843"/>
        </w:tabs>
        <w:jc w:val="center"/>
        <w:rPr>
          <w:b/>
          <w:color w:val="FF9900"/>
          <w:szCs w:val="22"/>
        </w:rPr>
      </w:pPr>
      <w:r w:rsidRPr="00BB0F20">
        <w:rPr>
          <w:b/>
          <w:szCs w:val="22"/>
        </w:rPr>
        <w:t xml:space="preserve">INTERNAL AUDIT PERFORMANCE INDICATORS AS AT </w:t>
      </w:r>
      <w:r>
        <w:rPr>
          <w:b/>
          <w:szCs w:val="22"/>
        </w:rPr>
        <w:t>30</w:t>
      </w:r>
      <w:r w:rsidRPr="001E7400">
        <w:rPr>
          <w:b/>
          <w:szCs w:val="22"/>
          <w:vertAlign w:val="superscript"/>
        </w:rPr>
        <w:t>th</w:t>
      </w:r>
      <w:r>
        <w:rPr>
          <w:b/>
          <w:szCs w:val="22"/>
        </w:rPr>
        <w:t xml:space="preserve"> March 2018</w:t>
      </w:r>
    </w:p>
    <w:p w:rsidR="00606A6A" w:rsidRPr="00BB0F20" w:rsidRDefault="00606A6A" w:rsidP="00606A6A">
      <w:pPr>
        <w:tabs>
          <w:tab w:val="left" w:pos="1843"/>
        </w:tabs>
        <w:rPr>
          <w:color w:val="FF0000"/>
        </w:rPr>
      </w:pPr>
    </w:p>
    <w:tbl>
      <w:tblPr>
        <w:tblW w:w="14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
        <w:gridCol w:w="4288"/>
        <w:gridCol w:w="1112"/>
        <w:gridCol w:w="1156"/>
        <w:gridCol w:w="1134"/>
        <w:gridCol w:w="5655"/>
      </w:tblGrid>
      <w:tr w:rsidR="00606A6A" w:rsidRPr="00BB0F20" w:rsidTr="00E3152B">
        <w:trPr>
          <w:jc w:val="center"/>
        </w:trPr>
        <w:tc>
          <w:tcPr>
            <w:tcW w:w="974" w:type="dxa"/>
            <w:shd w:val="clear" w:color="auto" w:fill="CCFFCC"/>
          </w:tcPr>
          <w:p w:rsidR="00606A6A" w:rsidRPr="00BB0F20" w:rsidRDefault="00606A6A" w:rsidP="00E3152B">
            <w:pPr>
              <w:tabs>
                <w:tab w:val="left" w:pos="1843"/>
              </w:tabs>
              <w:jc w:val="center"/>
              <w:rPr>
                <w:rFonts w:cs="Arial"/>
                <w:b/>
                <w:szCs w:val="22"/>
              </w:rPr>
            </w:pPr>
          </w:p>
        </w:tc>
        <w:tc>
          <w:tcPr>
            <w:tcW w:w="4288" w:type="dxa"/>
            <w:shd w:val="clear" w:color="auto" w:fill="CCFFCC"/>
            <w:vAlign w:val="center"/>
          </w:tcPr>
          <w:p w:rsidR="00606A6A" w:rsidRPr="00BB0F20" w:rsidRDefault="00606A6A" w:rsidP="00E3152B">
            <w:pPr>
              <w:keepNext/>
              <w:tabs>
                <w:tab w:val="left" w:pos="1843"/>
              </w:tabs>
              <w:spacing w:before="240" w:after="60"/>
              <w:jc w:val="center"/>
              <w:outlineLvl w:val="1"/>
              <w:rPr>
                <w:rFonts w:cs="Arial"/>
                <w:b/>
                <w:bCs/>
                <w:iCs/>
                <w:szCs w:val="22"/>
              </w:rPr>
            </w:pPr>
            <w:r w:rsidRPr="00BB0F20">
              <w:rPr>
                <w:rFonts w:cs="Arial"/>
                <w:b/>
                <w:bCs/>
                <w:iCs/>
                <w:szCs w:val="22"/>
              </w:rPr>
              <w:t>Indicator</w:t>
            </w:r>
          </w:p>
        </w:tc>
        <w:tc>
          <w:tcPr>
            <w:tcW w:w="1112" w:type="dxa"/>
            <w:shd w:val="clear" w:color="auto" w:fill="CCFFCC"/>
          </w:tcPr>
          <w:p w:rsidR="00606A6A" w:rsidRPr="00BB0F20" w:rsidRDefault="00606A6A" w:rsidP="00E3152B">
            <w:pPr>
              <w:tabs>
                <w:tab w:val="left" w:pos="1843"/>
              </w:tabs>
              <w:jc w:val="center"/>
              <w:rPr>
                <w:rFonts w:cs="Arial"/>
                <w:b/>
                <w:szCs w:val="22"/>
              </w:rPr>
            </w:pPr>
          </w:p>
          <w:p w:rsidR="00606A6A" w:rsidRPr="00BB0F20" w:rsidRDefault="00606A6A" w:rsidP="00E3152B">
            <w:pPr>
              <w:tabs>
                <w:tab w:val="left" w:pos="1843"/>
              </w:tabs>
              <w:jc w:val="center"/>
              <w:rPr>
                <w:rFonts w:cs="Arial"/>
                <w:b/>
                <w:szCs w:val="22"/>
              </w:rPr>
            </w:pPr>
          </w:p>
          <w:p w:rsidR="00606A6A" w:rsidRPr="00BB0F20" w:rsidRDefault="00606A6A" w:rsidP="00E3152B">
            <w:pPr>
              <w:tabs>
                <w:tab w:val="left" w:pos="1843"/>
              </w:tabs>
              <w:jc w:val="center"/>
              <w:rPr>
                <w:rFonts w:cs="Arial"/>
                <w:b/>
                <w:szCs w:val="22"/>
              </w:rPr>
            </w:pPr>
            <w:r w:rsidRPr="00BB0F20">
              <w:rPr>
                <w:rFonts w:cs="Arial"/>
                <w:b/>
                <w:szCs w:val="22"/>
              </w:rPr>
              <w:t>Audit Plan</w:t>
            </w:r>
          </w:p>
          <w:p w:rsidR="00606A6A" w:rsidRPr="00BB0F20" w:rsidRDefault="00606A6A" w:rsidP="00E3152B">
            <w:pPr>
              <w:tabs>
                <w:tab w:val="left" w:pos="1843"/>
              </w:tabs>
              <w:jc w:val="center"/>
              <w:rPr>
                <w:rFonts w:cs="Arial"/>
                <w:b/>
                <w:szCs w:val="22"/>
              </w:rPr>
            </w:pPr>
          </w:p>
        </w:tc>
        <w:tc>
          <w:tcPr>
            <w:tcW w:w="1156" w:type="dxa"/>
            <w:shd w:val="clear" w:color="auto" w:fill="CCFFCC"/>
          </w:tcPr>
          <w:p w:rsidR="00606A6A" w:rsidRPr="00BB0F20" w:rsidRDefault="00606A6A" w:rsidP="00E3152B">
            <w:pPr>
              <w:tabs>
                <w:tab w:val="left" w:pos="1843"/>
              </w:tabs>
              <w:jc w:val="center"/>
              <w:rPr>
                <w:rFonts w:cs="Arial"/>
                <w:b/>
                <w:szCs w:val="22"/>
              </w:rPr>
            </w:pPr>
          </w:p>
          <w:p w:rsidR="00606A6A" w:rsidRPr="00BB0F20" w:rsidRDefault="00606A6A" w:rsidP="00E3152B">
            <w:pPr>
              <w:tabs>
                <w:tab w:val="left" w:pos="1843"/>
              </w:tabs>
              <w:jc w:val="center"/>
              <w:rPr>
                <w:rFonts w:cs="Arial"/>
                <w:b/>
                <w:szCs w:val="22"/>
              </w:rPr>
            </w:pPr>
          </w:p>
          <w:p w:rsidR="00606A6A" w:rsidRPr="00BB0F20" w:rsidRDefault="00606A6A" w:rsidP="00E3152B">
            <w:pPr>
              <w:tabs>
                <w:tab w:val="left" w:pos="1843"/>
              </w:tabs>
              <w:jc w:val="center"/>
              <w:rPr>
                <w:rFonts w:cs="Arial"/>
                <w:b/>
                <w:szCs w:val="22"/>
              </w:rPr>
            </w:pPr>
            <w:r w:rsidRPr="00BB0F20">
              <w:rPr>
                <w:rFonts w:cs="Arial"/>
                <w:b/>
                <w:szCs w:val="22"/>
              </w:rPr>
              <w:t>Target 201</w:t>
            </w:r>
            <w:r>
              <w:rPr>
                <w:rFonts w:cs="Arial"/>
                <w:b/>
                <w:szCs w:val="22"/>
              </w:rPr>
              <w:t>7</w:t>
            </w:r>
            <w:r w:rsidRPr="00BB0F20">
              <w:rPr>
                <w:rFonts w:cs="Arial"/>
                <w:b/>
                <w:szCs w:val="22"/>
              </w:rPr>
              <w:t>/1</w:t>
            </w:r>
            <w:r>
              <w:rPr>
                <w:rFonts w:cs="Arial"/>
                <w:b/>
                <w:szCs w:val="22"/>
              </w:rPr>
              <w:t>8</w:t>
            </w:r>
          </w:p>
        </w:tc>
        <w:tc>
          <w:tcPr>
            <w:tcW w:w="1134" w:type="dxa"/>
            <w:shd w:val="clear" w:color="auto" w:fill="CCFFCC"/>
          </w:tcPr>
          <w:p w:rsidR="00606A6A" w:rsidRPr="00BB0F20" w:rsidRDefault="00606A6A" w:rsidP="00E3152B">
            <w:pPr>
              <w:tabs>
                <w:tab w:val="left" w:pos="1843"/>
              </w:tabs>
              <w:jc w:val="center"/>
              <w:rPr>
                <w:rFonts w:cs="Arial"/>
                <w:b/>
                <w:szCs w:val="22"/>
              </w:rPr>
            </w:pPr>
          </w:p>
          <w:p w:rsidR="00606A6A" w:rsidRPr="00BB0F20" w:rsidRDefault="00606A6A" w:rsidP="00E3152B">
            <w:pPr>
              <w:tabs>
                <w:tab w:val="left" w:pos="1843"/>
              </w:tabs>
              <w:jc w:val="center"/>
              <w:rPr>
                <w:rFonts w:cs="Arial"/>
                <w:b/>
                <w:szCs w:val="22"/>
              </w:rPr>
            </w:pPr>
          </w:p>
          <w:p w:rsidR="00606A6A" w:rsidRPr="00BB0F20" w:rsidRDefault="00606A6A" w:rsidP="00E3152B">
            <w:pPr>
              <w:tabs>
                <w:tab w:val="left" w:pos="1843"/>
              </w:tabs>
              <w:jc w:val="center"/>
              <w:rPr>
                <w:rFonts w:cs="Arial"/>
                <w:b/>
                <w:szCs w:val="22"/>
              </w:rPr>
            </w:pPr>
            <w:r w:rsidRPr="00BB0F20">
              <w:rPr>
                <w:rFonts w:cs="Arial"/>
                <w:b/>
                <w:szCs w:val="22"/>
              </w:rPr>
              <w:t xml:space="preserve">Actual </w:t>
            </w:r>
          </w:p>
          <w:p w:rsidR="00606A6A" w:rsidRPr="00BB0F20" w:rsidRDefault="00606A6A" w:rsidP="00E3152B">
            <w:pPr>
              <w:tabs>
                <w:tab w:val="left" w:pos="1843"/>
              </w:tabs>
              <w:jc w:val="center"/>
              <w:rPr>
                <w:rFonts w:cs="Arial"/>
                <w:b/>
                <w:color w:val="FF0000"/>
                <w:szCs w:val="22"/>
              </w:rPr>
            </w:pPr>
            <w:r w:rsidRPr="001E7400">
              <w:rPr>
                <w:rFonts w:cs="Arial"/>
                <w:b/>
                <w:szCs w:val="22"/>
              </w:rPr>
              <w:t>2017/18</w:t>
            </w:r>
          </w:p>
        </w:tc>
        <w:tc>
          <w:tcPr>
            <w:tcW w:w="5655" w:type="dxa"/>
            <w:shd w:val="clear" w:color="auto" w:fill="CCFFCC"/>
          </w:tcPr>
          <w:p w:rsidR="00606A6A" w:rsidRPr="00BB0F20" w:rsidRDefault="00606A6A" w:rsidP="00E3152B">
            <w:pPr>
              <w:tabs>
                <w:tab w:val="left" w:pos="1843"/>
              </w:tabs>
              <w:jc w:val="center"/>
              <w:rPr>
                <w:rFonts w:cs="Arial"/>
                <w:b/>
                <w:szCs w:val="22"/>
              </w:rPr>
            </w:pPr>
          </w:p>
          <w:p w:rsidR="00606A6A" w:rsidRPr="00BB0F20" w:rsidRDefault="00606A6A" w:rsidP="00E3152B">
            <w:pPr>
              <w:tabs>
                <w:tab w:val="left" w:pos="1843"/>
              </w:tabs>
              <w:jc w:val="center"/>
              <w:rPr>
                <w:rFonts w:cs="Arial"/>
                <w:b/>
                <w:szCs w:val="22"/>
              </w:rPr>
            </w:pPr>
          </w:p>
          <w:p w:rsidR="00606A6A" w:rsidRPr="00BB0F20" w:rsidRDefault="00606A6A" w:rsidP="00E3152B">
            <w:pPr>
              <w:tabs>
                <w:tab w:val="left" w:pos="1843"/>
              </w:tabs>
              <w:jc w:val="center"/>
              <w:rPr>
                <w:rFonts w:cs="Arial"/>
                <w:b/>
                <w:szCs w:val="22"/>
              </w:rPr>
            </w:pPr>
            <w:r w:rsidRPr="00BB0F20">
              <w:rPr>
                <w:rFonts w:cs="Arial"/>
                <w:b/>
                <w:szCs w:val="22"/>
              </w:rPr>
              <w:t>Comments</w:t>
            </w:r>
          </w:p>
        </w:tc>
      </w:tr>
      <w:tr w:rsidR="00606A6A" w:rsidRPr="00BB0F20" w:rsidTr="00E3152B">
        <w:trPr>
          <w:trHeight w:val="383"/>
          <w:jc w:val="center"/>
        </w:trPr>
        <w:tc>
          <w:tcPr>
            <w:tcW w:w="974" w:type="dxa"/>
            <w:vMerge w:val="restart"/>
            <w:vAlign w:val="center"/>
          </w:tcPr>
          <w:p w:rsidR="00606A6A" w:rsidRPr="00BB0F20" w:rsidRDefault="00606A6A" w:rsidP="00E3152B">
            <w:pPr>
              <w:tabs>
                <w:tab w:val="left" w:pos="1843"/>
              </w:tabs>
              <w:jc w:val="center"/>
              <w:rPr>
                <w:rFonts w:cs="Arial"/>
                <w:b/>
                <w:sz w:val="20"/>
              </w:rPr>
            </w:pPr>
            <w:r w:rsidRPr="00BB0F20">
              <w:rPr>
                <w:rFonts w:cs="Arial"/>
                <w:b/>
                <w:sz w:val="20"/>
              </w:rPr>
              <w:t>1</w:t>
            </w:r>
          </w:p>
        </w:tc>
        <w:tc>
          <w:tcPr>
            <w:tcW w:w="4288" w:type="dxa"/>
            <w:vMerge w:val="restart"/>
            <w:vAlign w:val="center"/>
          </w:tcPr>
          <w:p w:rsidR="00606A6A" w:rsidRPr="00BB0F20" w:rsidRDefault="00606A6A" w:rsidP="00E3152B">
            <w:pPr>
              <w:tabs>
                <w:tab w:val="left" w:pos="1843"/>
              </w:tabs>
              <w:rPr>
                <w:rFonts w:cs="Arial"/>
                <w:sz w:val="20"/>
              </w:rPr>
            </w:pPr>
          </w:p>
          <w:p w:rsidR="00606A6A" w:rsidRPr="00BB0F20" w:rsidRDefault="00606A6A" w:rsidP="00E3152B">
            <w:pPr>
              <w:tabs>
                <w:tab w:val="left" w:pos="1843"/>
              </w:tabs>
              <w:rPr>
                <w:rFonts w:cs="Arial"/>
                <w:color w:val="FF0000"/>
                <w:sz w:val="20"/>
              </w:rPr>
            </w:pPr>
            <w:r w:rsidRPr="00BB0F20">
              <w:rPr>
                <w:rFonts w:cs="Arial"/>
                <w:sz w:val="20"/>
              </w:rPr>
              <w:t xml:space="preserve">% of planned time used </w:t>
            </w:r>
          </w:p>
          <w:p w:rsidR="00606A6A" w:rsidRPr="00BB0F20" w:rsidRDefault="00606A6A" w:rsidP="00E3152B">
            <w:pPr>
              <w:tabs>
                <w:tab w:val="left" w:pos="1843"/>
              </w:tabs>
              <w:rPr>
                <w:rFonts w:cs="Arial"/>
                <w:sz w:val="20"/>
              </w:rPr>
            </w:pPr>
          </w:p>
        </w:tc>
        <w:tc>
          <w:tcPr>
            <w:tcW w:w="1112" w:type="dxa"/>
            <w:vAlign w:val="center"/>
          </w:tcPr>
          <w:p w:rsidR="00606A6A" w:rsidRPr="00970889" w:rsidRDefault="00606A6A" w:rsidP="00E3152B">
            <w:pPr>
              <w:tabs>
                <w:tab w:val="left" w:pos="1843"/>
              </w:tabs>
              <w:jc w:val="center"/>
              <w:rPr>
                <w:rFonts w:cs="Arial"/>
                <w:sz w:val="20"/>
              </w:rPr>
            </w:pPr>
            <w:r w:rsidRPr="00970889">
              <w:rPr>
                <w:rFonts w:cs="Arial"/>
                <w:sz w:val="20"/>
              </w:rPr>
              <w:t>SS</w:t>
            </w:r>
          </w:p>
        </w:tc>
        <w:tc>
          <w:tcPr>
            <w:tcW w:w="1156" w:type="dxa"/>
            <w:shd w:val="clear" w:color="auto" w:fill="auto"/>
            <w:vAlign w:val="center"/>
          </w:tcPr>
          <w:p w:rsidR="00606A6A" w:rsidRPr="00970889" w:rsidRDefault="00606A6A" w:rsidP="00E3152B">
            <w:pPr>
              <w:tabs>
                <w:tab w:val="left" w:pos="1843"/>
              </w:tabs>
              <w:jc w:val="center"/>
              <w:rPr>
                <w:rFonts w:cs="Arial"/>
                <w:sz w:val="20"/>
              </w:rPr>
            </w:pPr>
            <w:r w:rsidRPr="00970889">
              <w:rPr>
                <w:rFonts w:cs="Arial"/>
                <w:sz w:val="20"/>
              </w:rPr>
              <w:t>90%</w:t>
            </w:r>
          </w:p>
        </w:tc>
        <w:tc>
          <w:tcPr>
            <w:tcW w:w="1134" w:type="dxa"/>
            <w:shd w:val="clear" w:color="auto" w:fill="auto"/>
            <w:vAlign w:val="center"/>
          </w:tcPr>
          <w:p w:rsidR="00606A6A" w:rsidRPr="00970889" w:rsidRDefault="00606A6A" w:rsidP="00E3152B">
            <w:pPr>
              <w:tabs>
                <w:tab w:val="left" w:pos="1843"/>
              </w:tabs>
              <w:jc w:val="center"/>
              <w:rPr>
                <w:rFonts w:cs="Arial"/>
                <w:sz w:val="20"/>
              </w:rPr>
            </w:pPr>
            <w:r>
              <w:rPr>
                <w:rFonts w:cs="Arial"/>
                <w:sz w:val="20"/>
              </w:rPr>
              <w:t>99%</w:t>
            </w:r>
          </w:p>
        </w:tc>
        <w:tc>
          <w:tcPr>
            <w:tcW w:w="5655" w:type="dxa"/>
            <w:shd w:val="clear" w:color="auto" w:fill="auto"/>
            <w:vAlign w:val="center"/>
          </w:tcPr>
          <w:p w:rsidR="00606A6A" w:rsidRPr="00970889" w:rsidRDefault="00606A6A" w:rsidP="00E3152B">
            <w:pPr>
              <w:tabs>
                <w:tab w:val="left" w:pos="1843"/>
              </w:tabs>
              <w:ind w:left="56"/>
              <w:jc w:val="center"/>
              <w:rPr>
                <w:rFonts w:cs="Arial"/>
                <w:sz w:val="20"/>
              </w:rPr>
            </w:pPr>
            <w:r>
              <w:rPr>
                <w:rFonts w:cs="Arial"/>
                <w:sz w:val="20"/>
              </w:rPr>
              <w:t>Target exceeded</w:t>
            </w:r>
          </w:p>
        </w:tc>
      </w:tr>
      <w:tr w:rsidR="00606A6A" w:rsidRPr="00BB0F20" w:rsidTr="00E3152B">
        <w:trPr>
          <w:trHeight w:val="382"/>
          <w:jc w:val="center"/>
        </w:trPr>
        <w:tc>
          <w:tcPr>
            <w:tcW w:w="974" w:type="dxa"/>
            <w:vMerge/>
            <w:vAlign w:val="center"/>
          </w:tcPr>
          <w:p w:rsidR="00606A6A" w:rsidRPr="00BB0F20" w:rsidRDefault="00606A6A" w:rsidP="00E3152B">
            <w:pPr>
              <w:tabs>
                <w:tab w:val="left" w:pos="1843"/>
              </w:tabs>
              <w:jc w:val="center"/>
              <w:rPr>
                <w:rFonts w:cs="Arial"/>
                <w:b/>
                <w:sz w:val="20"/>
              </w:rPr>
            </w:pPr>
          </w:p>
        </w:tc>
        <w:tc>
          <w:tcPr>
            <w:tcW w:w="4288" w:type="dxa"/>
            <w:vMerge/>
            <w:vAlign w:val="center"/>
          </w:tcPr>
          <w:p w:rsidR="00606A6A" w:rsidRPr="00BB0F20" w:rsidRDefault="00606A6A" w:rsidP="00E3152B">
            <w:pPr>
              <w:tabs>
                <w:tab w:val="left" w:pos="1843"/>
              </w:tabs>
              <w:rPr>
                <w:rFonts w:cs="Arial"/>
                <w:sz w:val="20"/>
              </w:rPr>
            </w:pPr>
          </w:p>
        </w:tc>
        <w:tc>
          <w:tcPr>
            <w:tcW w:w="1112" w:type="dxa"/>
            <w:vAlign w:val="center"/>
          </w:tcPr>
          <w:p w:rsidR="00606A6A" w:rsidRPr="00970889" w:rsidRDefault="00606A6A" w:rsidP="00E3152B">
            <w:pPr>
              <w:tabs>
                <w:tab w:val="left" w:pos="1843"/>
              </w:tabs>
              <w:jc w:val="center"/>
              <w:rPr>
                <w:rFonts w:cs="Arial"/>
                <w:sz w:val="20"/>
              </w:rPr>
            </w:pPr>
            <w:r w:rsidRPr="00970889">
              <w:rPr>
                <w:rFonts w:cs="Arial"/>
                <w:sz w:val="20"/>
              </w:rPr>
              <w:t>SRBC</w:t>
            </w:r>
          </w:p>
        </w:tc>
        <w:tc>
          <w:tcPr>
            <w:tcW w:w="1156" w:type="dxa"/>
            <w:shd w:val="clear" w:color="auto" w:fill="auto"/>
            <w:vAlign w:val="center"/>
          </w:tcPr>
          <w:p w:rsidR="00606A6A" w:rsidRPr="00970889" w:rsidRDefault="00606A6A" w:rsidP="00E3152B">
            <w:pPr>
              <w:tabs>
                <w:tab w:val="left" w:pos="1843"/>
              </w:tabs>
              <w:jc w:val="center"/>
              <w:rPr>
                <w:rFonts w:cs="Arial"/>
                <w:sz w:val="20"/>
              </w:rPr>
            </w:pPr>
            <w:r w:rsidRPr="00970889">
              <w:rPr>
                <w:rFonts w:cs="Arial"/>
                <w:sz w:val="20"/>
              </w:rPr>
              <w:t>90%</w:t>
            </w:r>
          </w:p>
        </w:tc>
        <w:tc>
          <w:tcPr>
            <w:tcW w:w="1134" w:type="dxa"/>
            <w:shd w:val="clear" w:color="auto" w:fill="auto"/>
            <w:vAlign w:val="center"/>
          </w:tcPr>
          <w:p w:rsidR="00606A6A" w:rsidRPr="00970889" w:rsidRDefault="00606A6A" w:rsidP="00E3152B">
            <w:pPr>
              <w:tabs>
                <w:tab w:val="left" w:pos="1843"/>
              </w:tabs>
              <w:jc w:val="center"/>
              <w:rPr>
                <w:rFonts w:cs="Arial"/>
                <w:sz w:val="20"/>
              </w:rPr>
            </w:pPr>
            <w:r>
              <w:rPr>
                <w:rFonts w:cs="Arial"/>
                <w:sz w:val="20"/>
              </w:rPr>
              <w:t xml:space="preserve">90% </w:t>
            </w:r>
          </w:p>
        </w:tc>
        <w:tc>
          <w:tcPr>
            <w:tcW w:w="5655" w:type="dxa"/>
            <w:shd w:val="clear" w:color="auto" w:fill="auto"/>
            <w:vAlign w:val="center"/>
          </w:tcPr>
          <w:p w:rsidR="00606A6A" w:rsidRPr="00970889" w:rsidRDefault="00606A6A" w:rsidP="00E3152B">
            <w:pPr>
              <w:tabs>
                <w:tab w:val="left" w:pos="1843"/>
              </w:tabs>
              <w:ind w:left="56"/>
              <w:jc w:val="center"/>
              <w:rPr>
                <w:rFonts w:cs="Arial"/>
                <w:color w:val="FF0000"/>
                <w:sz w:val="20"/>
              </w:rPr>
            </w:pPr>
            <w:r w:rsidRPr="001E7400">
              <w:rPr>
                <w:rFonts w:cs="Arial"/>
                <w:sz w:val="20"/>
              </w:rPr>
              <w:t>Target achieved</w:t>
            </w:r>
          </w:p>
        </w:tc>
      </w:tr>
      <w:tr w:rsidR="00606A6A" w:rsidRPr="00BB0F20" w:rsidTr="00E3152B">
        <w:trPr>
          <w:trHeight w:val="499"/>
          <w:jc w:val="center"/>
        </w:trPr>
        <w:tc>
          <w:tcPr>
            <w:tcW w:w="974" w:type="dxa"/>
            <w:vMerge w:val="restart"/>
            <w:vAlign w:val="center"/>
          </w:tcPr>
          <w:p w:rsidR="00606A6A" w:rsidRPr="00BB0F20" w:rsidRDefault="00606A6A" w:rsidP="00E3152B">
            <w:pPr>
              <w:tabs>
                <w:tab w:val="left" w:pos="1843"/>
              </w:tabs>
              <w:jc w:val="center"/>
              <w:rPr>
                <w:rFonts w:cs="Arial"/>
                <w:b/>
                <w:sz w:val="20"/>
              </w:rPr>
            </w:pPr>
            <w:r w:rsidRPr="00BB0F20">
              <w:rPr>
                <w:rFonts w:cs="Arial"/>
                <w:b/>
                <w:sz w:val="20"/>
              </w:rPr>
              <w:t>2</w:t>
            </w:r>
          </w:p>
        </w:tc>
        <w:tc>
          <w:tcPr>
            <w:tcW w:w="4288" w:type="dxa"/>
            <w:vMerge w:val="restart"/>
            <w:vAlign w:val="center"/>
          </w:tcPr>
          <w:p w:rsidR="00606A6A" w:rsidRPr="00BB0F20" w:rsidRDefault="00606A6A" w:rsidP="00E3152B">
            <w:pPr>
              <w:tabs>
                <w:tab w:val="left" w:pos="1843"/>
              </w:tabs>
              <w:rPr>
                <w:rFonts w:cs="Arial"/>
                <w:sz w:val="20"/>
              </w:rPr>
            </w:pPr>
          </w:p>
          <w:p w:rsidR="00606A6A" w:rsidRPr="00BB0F20" w:rsidRDefault="00606A6A" w:rsidP="00E3152B">
            <w:pPr>
              <w:tabs>
                <w:tab w:val="left" w:pos="1843"/>
              </w:tabs>
              <w:rPr>
                <w:rFonts w:cs="Arial"/>
                <w:sz w:val="20"/>
              </w:rPr>
            </w:pPr>
            <w:r w:rsidRPr="00BB0F20">
              <w:rPr>
                <w:rFonts w:cs="Arial"/>
                <w:sz w:val="20"/>
              </w:rPr>
              <w:t>% audit plan completed</w:t>
            </w:r>
          </w:p>
          <w:p w:rsidR="00606A6A" w:rsidRPr="00BB0F20" w:rsidRDefault="00606A6A" w:rsidP="00E3152B">
            <w:pPr>
              <w:tabs>
                <w:tab w:val="left" w:pos="1843"/>
              </w:tabs>
              <w:rPr>
                <w:rFonts w:cs="Arial"/>
                <w:sz w:val="20"/>
              </w:rPr>
            </w:pPr>
          </w:p>
        </w:tc>
        <w:tc>
          <w:tcPr>
            <w:tcW w:w="1112" w:type="dxa"/>
            <w:vAlign w:val="center"/>
          </w:tcPr>
          <w:p w:rsidR="00606A6A" w:rsidRPr="00C845BB" w:rsidRDefault="00606A6A" w:rsidP="00E3152B">
            <w:pPr>
              <w:tabs>
                <w:tab w:val="left" w:pos="1843"/>
              </w:tabs>
              <w:jc w:val="center"/>
              <w:rPr>
                <w:rFonts w:cs="Arial"/>
                <w:sz w:val="20"/>
              </w:rPr>
            </w:pPr>
            <w:r w:rsidRPr="00C845BB">
              <w:rPr>
                <w:rFonts w:cs="Arial"/>
                <w:sz w:val="20"/>
              </w:rPr>
              <w:t>SS</w:t>
            </w:r>
          </w:p>
        </w:tc>
        <w:tc>
          <w:tcPr>
            <w:tcW w:w="1156" w:type="dxa"/>
            <w:shd w:val="clear" w:color="auto" w:fill="auto"/>
            <w:vAlign w:val="center"/>
          </w:tcPr>
          <w:p w:rsidR="00606A6A" w:rsidRPr="00C845BB" w:rsidRDefault="00606A6A" w:rsidP="00E3152B">
            <w:pPr>
              <w:tabs>
                <w:tab w:val="left" w:pos="1843"/>
              </w:tabs>
              <w:jc w:val="center"/>
              <w:rPr>
                <w:rFonts w:cs="Arial"/>
                <w:sz w:val="20"/>
              </w:rPr>
            </w:pPr>
            <w:r w:rsidRPr="00C845BB">
              <w:rPr>
                <w:rFonts w:cs="Arial"/>
                <w:sz w:val="20"/>
              </w:rPr>
              <w:t>100%</w:t>
            </w:r>
          </w:p>
        </w:tc>
        <w:tc>
          <w:tcPr>
            <w:tcW w:w="1134" w:type="dxa"/>
            <w:shd w:val="clear" w:color="auto" w:fill="auto"/>
            <w:vAlign w:val="center"/>
          </w:tcPr>
          <w:p w:rsidR="00606A6A" w:rsidRPr="00C845BB" w:rsidRDefault="00606A6A" w:rsidP="00E3152B">
            <w:pPr>
              <w:tabs>
                <w:tab w:val="left" w:pos="1843"/>
              </w:tabs>
              <w:jc w:val="center"/>
              <w:rPr>
                <w:rFonts w:cs="Arial"/>
                <w:sz w:val="20"/>
              </w:rPr>
            </w:pPr>
            <w:r>
              <w:rPr>
                <w:rFonts w:cs="Arial"/>
                <w:sz w:val="20"/>
              </w:rPr>
              <w:t>100%</w:t>
            </w:r>
          </w:p>
        </w:tc>
        <w:tc>
          <w:tcPr>
            <w:tcW w:w="5655" w:type="dxa"/>
            <w:shd w:val="clear" w:color="auto" w:fill="auto"/>
            <w:vAlign w:val="center"/>
          </w:tcPr>
          <w:p w:rsidR="00606A6A" w:rsidRPr="00C845BB" w:rsidRDefault="00606A6A" w:rsidP="00E3152B">
            <w:pPr>
              <w:tabs>
                <w:tab w:val="left" w:pos="1843"/>
              </w:tabs>
              <w:jc w:val="center"/>
              <w:rPr>
                <w:rFonts w:cs="Arial"/>
                <w:sz w:val="20"/>
              </w:rPr>
            </w:pPr>
            <w:r>
              <w:rPr>
                <w:rFonts w:cs="Arial"/>
                <w:sz w:val="20"/>
              </w:rPr>
              <w:t>Target exceeded</w:t>
            </w:r>
          </w:p>
        </w:tc>
      </w:tr>
      <w:tr w:rsidR="00606A6A" w:rsidRPr="00BB0F20" w:rsidTr="00E3152B">
        <w:trPr>
          <w:trHeight w:val="382"/>
          <w:jc w:val="center"/>
        </w:trPr>
        <w:tc>
          <w:tcPr>
            <w:tcW w:w="974" w:type="dxa"/>
            <w:vMerge/>
            <w:vAlign w:val="center"/>
          </w:tcPr>
          <w:p w:rsidR="00606A6A" w:rsidRPr="00BB0F20" w:rsidRDefault="00606A6A" w:rsidP="00E3152B">
            <w:pPr>
              <w:tabs>
                <w:tab w:val="left" w:pos="1843"/>
              </w:tabs>
              <w:jc w:val="center"/>
              <w:rPr>
                <w:rFonts w:cs="Arial"/>
                <w:b/>
                <w:sz w:val="20"/>
              </w:rPr>
            </w:pPr>
          </w:p>
        </w:tc>
        <w:tc>
          <w:tcPr>
            <w:tcW w:w="4288" w:type="dxa"/>
            <w:vMerge/>
          </w:tcPr>
          <w:p w:rsidR="00606A6A" w:rsidRPr="00BB0F20" w:rsidRDefault="00606A6A" w:rsidP="00E3152B">
            <w:pPr>
              <w:tabs>
                <w:tab w:val="left" w:pos="1843"/>
              </w:tabs>
              <w:rPr>
                <w:rFonts w:cs="Arial"/>
                <w:sz w:val="20"/>
              </w:rPr>
            </w:pPr>
          </w:p>
        </w:tc>
        <w:tc>
          <w:tcPr>
            <w:tcW w:w="1112" w:type="dxa"/>
            <w:vAlign w:val="center"/>
          </w:tcPr>
          <w:p w:rsidR="00606A6A" w:rsidRPr="00C845BB" w:rsidRDefault="00606A6A" w:rsidP="00E3152B">
            <w:pPr>
              <w:tabs>
                <w:tab w:val="left" w:pos="1843"/>
              </w:tabs>
              <w:jc w:val="center"/>
              <w:rPr>
                <w:rFonts w:cs="Arial"/>
                <w:sz w:val="20"/>
              </w:rPr>
            </w:pPr>
            <w:r w:rsidRPr="00C845BB">
              <w:rPr>
                <w:rFonts w:cs="Arial"/>
                <w:sz w:val="20"/>
              </w:rPr>
              <w:t>SRBC</w:t>
            </w:r>
          </w:p>
        </w:tc>
        <w:tc>
          <w:tcPr>
            <w:tcW w:w="1156" w:type="dxa"/>
            <w:shd w:val="clear" w:color="auto" w:fill="auto"/>
            <w:vAlign w:val="center"/>
          </w:tcPr>
          <w:p w:rsidR="00606A6A" w:rsidRPr="00C845BB" w:rsidRDefault="00606A6A" w:rsidP="00E3152B">
            <w:pPr>
              <w:tabs>
                <w:tab w:val="left" w:pos="1843"/>
              </w:tabs>
              <w:jc w:val="center"/>
              <w:rPr>
                <w:rFonts w:cs="Arial"/>
                <w:sz w:val="20"/>
              </w:rPr>
            </w:pPr>
            <w:r w:rsidRPr="00C845BB">
              <w:rPr>
                <w:rFonts w:cs="Arial"/>
                <w:sz w:val="20"/>
              </w:rPr>
              <w:t>100%</w:t>
            </w:r>
          </w:p>
        </w:tc>
        <w:tc>
          <w:tcPr>
            <w:tcW w:w="1134" w:type="dxa"/>
            <w:shd w:val="clear" w:color="auto" w:fill="auto"/>
            <w:vAlign w:val="center"/>
          </w:tcPr>
          <w:p w:rsidR="00606A6A" w:rsidRPr="00C845BB" w:rsidRDefault="00606A6A" w:rsidP="00E3152B">
            <w:pPr>
              <w:tabs>
                <w:tab w:val="left" w:pos="1843"/>
              </w:tabs>
              <w:jc w:val="center"/>
              <w:rPr>
                <w:rFonts w:cs="Arial"/>
                <w:sz w:val="20"/>
              </w:rPr>
            </w:pPr>
            <w:r>
              <w:rPr>
                <w:rFonts w:cs="Arial"/>
                <w:sz w:val="20"/>
              </w:rPr>
              <w:t>77%</w:t>
            </w:r>
          </w:p>
        </w:tc>
        <w:tc>
          <w:tcPr>
            <w:tcW w:w="5655" w:type="dxa"/>
            <w:shd w:val="clear" w:color="auto" w:fill="auto"/>
            <w:vAlign w:val="center"/>
          </w:tcPr>
          <w:p w:rsidR="00606A6A" w:rsidRPr="00C845BB" w:rsidRDefault="008A5FD0" w:rsidP="008A5FD0">
            <w:pPr>
              <w:tabs>
                <w:tab w:val="left" w:pos="1843"/>
              </w:tabs>
              <w:jc w:val="center"/>
              <w:rPr>
                <w:rFonts w:cs="Arial"/>
                <w:sz w:val="20"/>
              </w:rPr>
            </w:pPr>
            <w:r>
              <w:rPr>
                <w:rFonts w:cs="Arial"/>
                <w:sz w:val="20"/>
              </w:rPr>
              <w:t xml:space="preserve">Completion of </w:t>
            </w:r>
            <w:r w:rsidR="00606A6A">
              <w:rPr>
                <w:rFonts w:cs="Arial"/>
                <w:sz w:val="20"/>
              </w:rPr>
              <w:t xml:space="preserve">3 reviews </w:t>
            </w:r>
            <w:r>
              <w:rPr>
                <w:rFonts w:cs="Arial"/>
                <w:sz w:val="20"/>
              </w:rPr>
              <w:t>carried forward to 2018/19</w:t>
            </w:r>
          </w:p>
        </w:tc>
      </w:tr>
      <w:tr w:rsidR="00606A6A" w:rsidRPr="00BB0F20" w:rsidTr="00E3152B">
        <w:trPr>
          <w:trHeight w:val="405"/>
          <w:jc w:val="center"/>
        </w:trPr>
        <w:tc>
          <w:tcPr>
            <w:tcW w:w="974" w:type="dxa"/>
            <w:vMerge w:val="restart"/>
            <w:vAlign w:val="center"/>
          </w:tcPr>
          <w:p w:rsidR="00606A6A" w:rsidRPr="00BB0F20" w:rsidRDefault="00606A6A" w:rsidP="00E3152B">
            <w:pPr>
              <w:tabs>
                <w:tab w:val="left" w:pos="1843"/>
              </w:tabs>
              <w:jc w:val="center"/>
              <w:rPr>
                <w:rFonts w:cs="Arial"/>
                <w:b/>
                <w:sz w:val="20"/>
              </w:rPr>
            </w:pPr>
            <w:r w:rsidRPr="00BB0F20">
              <w:rPr>
                <w:rFonts w:cs="Arial"/>
                <w:b/>
                <w:sz w:val="20"/>
              </w:rPr>
              <w:t>3</w:t>
            </w:r>
          </w:p>
        </w:tc>
        <w:tc>
          <w:tcPr>
            <w:tcW w:w="4288" w:type="dxa"/>
            <w:vMerge w:val="restart"/>
          </w:tcPr>
          <w:p w:rsidR="00606A6A" w:rsidRPr="00BB0F20" w:rsidRDefault="00606A6A" w:rsidP="00E3152B">
            <w:pPr>
              <w:tabs>
                <w:tab w:val="left" w:pos="1843"/>
              </w:tabs>
              <w:rPr>
                <w:rFonts w:cs="Arial"/>
                <w:sz w:val="20"/>
              </w:rPr>
            </w:pPr>
          </w:p>
          <w:p w:rsidR="00606A6A" w:rsidRPr="00BB0F20" w:rsidRDefault="00606A6A" w:rsidP="00E3152B">
            <w:pPr>
              <w:tabs>
                <w:tab w:val="left" w:pos="1843"/>
              </w:tabs>
              <w:rPr>
                <w:rFonts w:cs="Arial"/>
                <w:sz w:val="20"/>
              </w:rPr>
            </w:pPr>
          </w:p>
          <w:p w:rsidR="00606A6A" w:rsidRPr="00BB0F20" w:rsidRDefault="00606A6A" w:rsidP="00E3152B">
            <w:pPr>
              <w:tabs>
                <w:tab w:val="left" w:pos="1843"/>
              </w:tabs>
              <w:rPr>
                <w:rFonts w:cs="Arial"/>
                <w:sz w:val="20"/>
              </w:rPr>
            </w:pPr>
            <w:r w:rsidRPr="00BB0F20">
              <w:rPr>
                <w:rFonts w:cs="Arial"/>
                <w:sz w:val="20"/>
              </w:rPr>
              <w:t>% management actions agreed</w:t>
            </w:r>
          </w:p>
          <w:p w:rsidR="00606A6A" w:rsidRPr="00BB0F20" w:rsidRDefault="00606A6A" w:rsidP="00E3152B">
            <w:pPr>
              <w:tabs>
                <w:tab w:val="left" w:pos="1843"/>
              </w:tabs>
              <w:rPr>
                <w:rFonts w:cs="Arial"/>
                <w:sz w:val="20"/>
              </w:rPr>
            </w:pPr>
          </w:p>
        </w:tc>
        <w:tc>
          <w:tcPr>
            <w:tcW w:w="1112" w:type="dxa"/>
            <w:vAlign w:val="center"/>
          </w:tcPr>
          <w:p w:rsidR="00606A6A" w:rsidRPr="00C845BB" w:rsidRDefault="00606A6A" w:rsidP="00E3152B">
            <w:pPr>
              <w:tabs>
                <w:tab w:val="left" w:pos="1843"/>
              </w:tabs>
              <w:jc w:val="center"/>
              <w:rPr>
                <w:rFonts w:cs="Arial"/>
                <w:sz w:val="20"/>
              </w:rPr>
            </w:pPr>
            <w:r w:rsidRPr="00C845BB">
              <w:rPr>
                <w:rFonts w:cs="Arial"/>
                <w:sz w:val="20"/>
              </w:rPr>
              <w:t>SS</w:t>
            </w:r>
          </w:p>
        </w:tc>
        <w:tc>
          <w:tcPr>
            <w:tcW w:w="1156" w:type="dxa"/>
            <w:shd w:val="clear" w:color="auto" w:fill="auto"/>
            <w:vAlign w:val="center"/>
          </w:tcPr>
          <w:p w:rsidR="00606A6A" w:rsidRPr="00C845BB" w:rsidRDefault="00606A6A" w:rsidP="00E3152B">
            <w:pPr>
              <w:tabs>
                <w:tab w:val="left" w:pos="1843"/>
              </w:tabs>
              <w:jc w:val="center"/>
              <w:rPr>
                <w:rFonts w:cs="Arial"/>
                <w:sz w:val="20"/>
              </w:rPr>
            </w:pPr>
            <w:r w:rsidRPr="00C845BB">
              <w:rPr>
                <w:rFonts w:cs="Arial"/>
                <w:sz w:val="20"/>
              </w:rPr>
              <w:t>98%</w:t>
            </w:r>
          </w:p>
        </w:tc>
        <w:tc>
          <w:tcPr>
            <w:tcW w:w="1134" w:type="dxa"/>
            <w:shd w:val="clear" w:color="auto" w:fill="auto"/>
            <w:vAlign w:val="center"/>
          </w:tcPr>
          <w:p w:rsidR="00606A6A" w:rsidRPr="00C845BB" w:rsidRDefault="00606A6A" w:rsidP="00E3152B">
            <w:pPr>
              <w:tabs>
                <w:tab w:val="left" w:pos="1843"/>
              </w:tabs>
              <w:jc w:val="center"/>
              <w:rPr>
                <w:rFonts w:cs="Arial"/>
                <w:sz w:val="20"/>
              </w:rPr>
            </w:pPr>
            <w:r>
              <w:rPr>
                <w:rFonts w:cs="Arial"/>
                <w:sz w:val="20"/>
              </w:rPr>
              <w:t>100%</w:t>
            </w:r>
          </w:p>
        </w:tc>
        <w:tc>
          <w:tcPr>
            <w:tcW w:w="5655" w:type="dxa"/>
            <w:shd w:val="clear" w:color="auto" w:fill="auto"/>
            <w:vAlign w:val="center"/>
          </w:tcPr>
          <w:p w:rsidR="00606A6A" w:rsidRPr="00C845BB" w:rsidRDefault="00606A6A" w:rsidP="00E3152B">
            <w:pPr>
              <w:tabs>
                <w:tab w:val="left" w:pos="1843"/>
              </w:tabs>
              <w:jc w:val="center"/>
              <w:rPr>
                <w:rFonts w:cs="Arial"/>
                <w:sz w:val="20"/>
              </w:rPr>
            </w:pPr>
            <w:r>
              <w:rPr>
                <w:rFonts w:cs="Arial"/>
                <w:sz w:val="20"/>
              </w:rPr>
              <w:t>Target exceeded</w:t>
            </w:r>
          </w:p>
        </w:tc>
      </w:tr>
      <w:tr w:rsidR="00606A6A" w:rsidRPr="00BB0F20" w:rsidTr="00E3152B">
        <w:trPr>
          <w:trHeight w:val="405"/>
          <w:jc w:val="center"/>
        </w:trPr>
        <w:tc>
          <w:tcPr>
            <w:tcW w:w="974" w:type="dxa"/>
            <w:vMerge/>
            <w:vAlign w:val="center"/>
          </w:tcPr>
          <w:p w:rsidR="00606A6A" w:rsidRPr="00BB0F20" w:rsidRDefault="00606A6A" w:rsidP="00E3152B">
            <w:pPr>
              <w:tabs>
                <w:tab w:val="left" w:pos="1843"/>
              </w:tabs>
              <w:jc w:val="center"/>
              <w:rPr>
                <w:rFonts w:cs="Arial"/>
                <w:b/>
                <w:sz w:val="20"/>
              </w:rPr>
            </w:pPr>
          </w:p>
        </w:tc>
        <w:tc>
          <w:tcPr>
            <w:tcW w:w="4288" w:type="dxa"/>
            <w:vMerge/>
          </w:tcPr>
          <w:p w:rsidR="00606A6A" w:rsidRPr="00BB0F20" w:rsidRDefault="00606A6A" w:rsidP="00E3152B">
            <w:pPr>
              <w:tabs>
                <w:tab w:val="left" w:pos="1843"/>
              </w:tabs>
              <w:rPr>
                <w:rFonts w:cs="Arial"/>
                <w:sz w:val="20"/>
              </w:rPr>
            </w:pPr>
          </w:p>
        </w:tc>
        <w:tc>
          <w:tcPr>
            <w:tcW w:w="1112" w:type="dxa"/>
            <w:vAlign w:val="center"/>
          </w:tcPr>
          <w:p w:rsidR="00606A6A" w:rsidRPr="00C845BB" w:rsidRDefault="00606A6A" w:rsidP="00E3152B">
            <w:pPr>
              <w:tabs>
                <w:tab w:val="left" w:pos="1843"/>
              </w:tabs>
              <w:jc w:val="center"/>
              <w:rPr>
                <w:rFonts w:cs="Arial"/>
                <w:sz w:val="20"/>
              </w:rPr>
            </w:pPr>
            <w:r w:rsidRPr="00C845BB">
              <w:rPr>
                <w:rFonts w:cs="Arial"/>
                <w:sz w:val="20"/>
              </w:rPr>
              <w:t>SRBC</w:t>
            </w:r>
          </w:p>
        </w:tc>
        <w:tc>
          <w:tcPr>
            <w:tcW w:w="1156" w:type="dxa"/>
            <w:tcBorders>
              <w:bottom w:val="single" w:sz="4" w:space="0" w:color="auto"/>
            </w:tcBorders>
            <w:shd w:val="clear" w:color="auto" w:fill="auto"/>
            <w:vAlign w:val="center"/>
          </w:tcPr>
          <w:p w:rsidR="00606A6A" w:rsidRPr="00C845BB" w:rsidRDefault="00606A6A" w:rsidP="00E3152B">
            <w:pPr>
              <w:tabs>
                <w:tab w:val="left" w:pos="1843"/>
              </w:tabs>
              <w:jc w:val="center"/>
              <w:rPr>
                <w:rFonts w:cs="Arial"/>
                <w:sz w:val="20"/>
              </w:rPr>
            </w:pPr>
            <w:r w:rsidRPr="00C845BB">
              <w:rPr>
                <w:rFonts w:cs="Arial"/>
                <w:sz w:val="20"/>
              </w:rPr>
              <w:t>98%</w:t>
            </w:r>
          </w:p>
        </w:tc>
        <w:tc>
          <w:tcPr>
            <w:tcW w:w="1134" w:type="dxa"/>
            <w:shd w:val="clear" w:color="auto" w:fill="auto"/>
            <w:vAlign w:val="center"/>
          </w:tcPr>
          <w:p w:rsidR="00606A6A" w:rsidRPr="00C845BB" w:rsidRDefault="00606A6A" w:rsidP="00E3152B">
            <w:pPr>
              <w:tabs>
                <w:tab w:val="left" w:pos="1843"/>
              </w:tabs>
              <w:jc w:val="center"/>
              <w:rPr>
                <w:rFonts w:cs="Arial"/>
                <w:sz w:val="20"/>
              </w:rPr>
            </w:pPr>
            <w:r>
              <w:rPr>
                <w:rFonts w:cs="Arial"/>
                <w:sz w:val="20"/>
              </w:rPr>
              <w:t>100%</w:t>
            </w:r>
          </w:p>
        </w:tc>
        <w:tc>
          <w:tcPr>
            <w:tcW w:w="5655" w:type="dxa"/>
            <w:shd w:val="clear" w:color="auto" w:fill="auto"/>
            <w:vAlign w:val="center"/>
          </w:tcPr>
          <w:p w:rsidR="00606A6A" w:rsidRPr="00C845BB" w:rsidRDefault="00606A6A" w:rsidP="00E3152B">
            <w:pPr>
              <w:tabs>
                <w:tab w:val="left" w:pos="1843"/>
              </w:tabs>
              <w:jc w:val="center"/>
              <w:rPr>
                <w:rFonts w:cs="Arial"/>
                <w:sz w:val="20"/>
              </w:rPr>
            </w:pPr>
            <w:r>
              <w:rPr>
                <w:rFonts w:cs="Arial"/>
                <w:sz w:val="20"/>
              </w:rPr>
              <w:t>Target exceeded</w:t>
            </w:r>
          </w:p>
        </w:tc>
      </w:tr>
      <w:tr w:rsidR="00606A6A" w:rsidRPr="00BB0F20" w:rsidTr="00E3152B">
        <w:trPr>
          <w:cantSplit/>
          <w:trHeight w:val="495"/>
          <w:jc w:val="center"/>
        </w:trPr>
        <w:tc>
          <w:tcPr>
            <w:tcW w:w="974" w:type="dxa"/>
            <w:vMerge w:val="restart"/>
            <w:vAlign w:val="center"/>
          </w:tcPr>
          <w:p w:rsidR="00606A6A" w:rsidRPr="00BB0F20" w:rsidRDefault="00606A6A" w:rsidP="00E3152B">
            <w:pPr>
              <w:tabs>
                <w:tab w:val="left" w:pos="1843"/>
              </w:tabs>
              <w:jc w:val="center"/>
              <w:rPr>
                <w:rFonts w:cs="Arial"/>
                <w:b/>
                <w:sz w:val="20"/>
              </w:rPr>
            </w:pPr>
            <w:r w:rsidRPr="00BB0F20">
              <w:rPr>
                <w:rFonts w:cs="Arial"/>
                <w:b/>
                <w:sz w:val="20"/>
              </w:rPr>
              <w:t>4</w:t>
            </w:r>
          </w:p>
        </w:tc>
        <w:tc>
          <w:tcPr>
            <w:tcW w:w="4288" w:type="dxa"/>
            <w:vMerge w:val="restart"/>
          </w:tcPr>
          <w:p w:rsidR="00606A6A" w:rsidRPr="00BB0F20" w:rsidRDefault="00606A6A" w:rsidP="00E3152B">
            <w:pPr>
              <w:tabs>
                <w:tab w:val="left" w:pos="1843"/>
              </w:tabs>
              <w:rPr>
                <w:rFonts w:cs="Arial"/>
                <w:sz w:val="20"/>
              </w:rPr>
            </w:pPr>
          </w:p>
          <w:p w:rsidR="00606A6A" w:rsidRPr="00BB0F20" w:rsidRDefault="00606A6A" w:rsidP="00E3152B">
            <w:pPr>
              <w:tabs>
                <w:tab w:val="left" w:pos="1843"/>
              </w:tabs>
              <w:rPr>
                <w:rFonts w:cs="Arial"/>
                <w:sz w:val="20"/>
              </w:rPr>
            </w:pPr>
            <w:r w:rsidRPr="00BB0F20">
              <w:rPr>
                <w:rFonts w:cs="Arial"/>
                <w:sz w:val="20"/>
              </w:rPr>
              <w:t>% overall customer satisfaction rating (assignment level)</w:t>
            </w:r>
          </w:p>
        </w:tc>
        <w:tc>
          <w:tcPr>
            <w:tcW w:w="1112" w:type="dxa"/>
            <w:vAlign w:val="center"/>
          </w:tcPr>
          <w:p w:rsidR="00606A6A" w:rsidRPr="00E318D3" w:rsidRDefault="00606A6A" w:rsidP="00E3152B">
            <w:pPr>
              <w:tabs>
                <w:tab w:val="left" w:pos="1843"/>
              </w:tabs>
              <w:jc w:val="center"/>
              <w:rPr>
                <w:rFonts w:cs="Arial"/>
                <w:sz w:val="20"/>
              </w:rPr>
            </w:pPr>
            <w:r w:rsidRPr="00E318D3">
              <w:rPr>
                <w:rFonts w:cs="Arial"/>
                <w:sz w:val="20"/>
              </w:rPr>
              <w:t>SS</w:t>
            </w:r>
          </w:p>
        </w:tc>
        <w:tc>
          <w:tcPr>
            <w:tcW w:w="1156" w:type="dxa"/>
            <w:shd w:val="clear" w:color="auto" w:fill="auto"/>
            <w:vAlign w:val="center"/>
          </w:tcPr>
          <w:p w:rsidR="00606A6A" w:rsidRPr="00E318D3" w:rsidRDefault="00606A6A" w:rsidP="00E3152B">
            <w:pPr>
              <w:tabs>
                <w:tab w:val="left" w:pos="1843"/>
              </w:tabs>
              <w:jc w:val="center"/>
              <w:rPr>
                <w:rFonts w:cs="Arial"/>
                <w:sz w:val="20"/>
              </w:rPr>
            </w:pPr>
            <w:r w:rsidRPr="00E318D3">
              <w:rPr>
                <w:rFonts w:cs="Arial"/>
                <w:sz w:val="20"/>
              </w:rPr>
              <w:t>90%</w:t>
            </w:r>
          </w:p>
        </w:tc>
        <w:tc>
          <w:tcPr>
            <w:tcW w:w="1134" w:type="dxa"/>
            <w:shd w:val="clear" w:color="auto" w:fill="auto"/>
            <w:vAlign w:val="center"/>
          </w:tcPr>
          <w:p w:rsidR="00606A6A" w:rsidRPr="00E318D3" w:rsidRDefault="00606A6A" w:rsidP="00E3152B">
            <w:pPr>
              <w:tabs>
                <w:tab w:val="left" w:pos="1843"/>
              </w:tabs>
              <w:jc w:val="center"/>
              <w:rPr>
                <w:rFonts w:cs="Arial"/>
                <w:sz w:val="20"/>
              </w:rPr>
            </w:pPr>
            <w:r>
              <w:rPr>
                <w:rFonts w:cs="Arial"/>
                <w:sz w:val="20"/>
              </w:rPr>
              <w:t>100%</w:t>
            </w:r>
          </w:p>
        </w:tc>
        <w:tc>
          <w:tcPr>
            <w:tcW w:w="5655" w:type="dxa"/>
            <w:shd w:val="clear" w:color="auto" w:fill="auto"/>
            <w:vAlign w:val="center"/>
          </w:tcPr>
          <w:p w:rsidR="00606A6A" w:rsidRPr="00E318D3" w:rsidRDefault="00606A6A" w:rsidP="00E3152B">
            <w:pPr>
              <w:tabs>
                <w:tab w:val="left" w:pos="1843"/>
              </w:tabs>
              <w:jc w:val="center"/>
              <w:rPr>
                <w:rFonts w:cs="Arial"/>
                <w:sz w:val="20"/>
              </w:rPr>
            </w:pPr>
            <w:r>
              <w:rPr>
                <w:rFonts w:cs="Arial"/>
                <w:sz w:val="20"/>
              </w:rPr>
              <w:t>Target exceeded</w:t>
            </w:r>
          </w:p>
        </w:tc>
      </w:tr>
      <w:tr w:rsidR="00606A6A" w:rsidRPr="00BB0F20" w:rsidTr="00E3152B">
        <w:trPr>
          <w:cantSplit/>
          <w:trHeight w:val="495"/>
          <w:jc w:val="center"/>
        </w:trPr>
        <w:tc>
          <w:tcPr>
            <w:tcW w:w="974" w:type="dxa"/>
            <w:vMerge/>
            <w:vAlign w:val="center"/>
          </w:tcPr>
          <w:p w:rsidR="00606A6A" w:rsidRPr="00BB0F20" w:rsidRDefault="00606A6A" w:rsidP="00E3152B">
            <w:pPr>
              <w:tabs>
                <w:tab w:val="left" w:pos="1843"/>
              </w:tabs>
              <w:jc w:val="center"/>
              <w:rPr>
                <w:rFonts w:cs="Arial"/>
                <w:b/>
                <w:sz w:val="20"/>
              </w:rPr>
            </w:pPr>
          </w:p>
        </w:tc>
        <w:tc>
          <w:tcPr>
            <w:tcW w:w="4288" w:type="dxa"/>
            <w:vMerge/>
          </w:tcPr>
          <w:p w:rsidR="00606A6A" w:rsidRPr="00BB0F20" w:rsidRDefault="00606A6A" w:rsidP="00E3152B">
            <w:pPr>
              <w:tabs>
                <w:tab w:val="left" w:pos="1843"/>
              </w:tabs>
              <w:rPr>
                <w:rFonts w:cs="Arial"/>
                <w:sz w:val="20"/>
              </w:rPr>
            </w:pPr>
          </w:p>
        </w:tc>
        <w:tc>
          <w:tcPr>
            <w:tcW w:w="1112" w:type="dxa"/>
            <w:vAlign w:val="center"/>
          </w:tcPr>
          <w:p w:rsidR="00606A6A" w:rsidRPr="00E318D3" w:rsidRDefault="00606A6A" w:rsidP="00E3152B">
            <w:pPr>
              <w:tabs>
                <w:tab w:val="left" w:pos="1843"/>
              </w:tabs>
              <w:jc w:val="center"/>
              <w:rPr>
                <w:rFonts w:cs="Arial"/>
                <w:sz w:val="20"/>
              </w:rPr>
            </w:pPr>
            <w:r w:rsidRPr="00E318D3">
              <w:rPr>
                <w:rFonts w:cs="Arial"/>
                <w:sz w:val="20"/>
              </w:rPr>
              <w:t>SRBC</w:t>
            </w:r>
          </w:p>
        </w:tc>
        <w:tc>
          <w:tcPr>
            <w:tcW w:w="1156" w:type="dxa"/>
            <w:shd w:val="clear" w:color="auto" w:fill="auto"/>
            <w:vAlign w:val="center"/>
          </w:tcPr>
          <w:p w:rsidR="00606A6A" w:rsidRPr="00E318D3" w:rsidRDefault="00606A6A" w:rsidP="00E3152B">
            <w:pPr>
              <w:tabs>
                <w:tab w:val="left" w:pos="1843"/>
              </w:tabs>
              <w:jc w:val="center"/>
              <w:rPr>
                <w:rFonts w:cs="Arial"/>
                <w:sz w:val="20"/>
              </w:rPr>
            </w:pPr>
            <w:r w:rsidRPr="00E318D3">
              <w:rPr>
                <w:rFonts w:cs="Arial"/>
                <w:sz w:val="20"/>
              </w:rPr>
              <w:t>90%</w:t>
            </w:r>
          </w:p>
        </w:tc>
        <w:tc>
          <w:tcPr>
            <w:tcW w:w="1134" w:type="dxa"/>
            <w:shd w:val="clear" w:color="auto" w:fill="auto"/>
            <w:vAlign w:val="center"/>
          </w:tcPr>
          <w:p w:rsidR="00606A6A" w:rsidRPr="00E318D3" w:rsidRDefault="00606A6A" w:rsidP="00E3152B">
            <w:pPr>
              <w:tabs>
                <w:tab w:val="left" w:pos="1843"/>
              </w:tabs>
              <w:jc w:val="center"/>
              <w:rPr>
                <w:rFonts w:cs="Arial"/>
                <w:sz w:val="20"/>
              </w:rPr>
            </w:pPr>
            <w:r>
              <w:rPr>
                <w:rFonts w:cs="Arial"/>
                <w:sz w:val="20"/>
              </w:rPr>
              <w:t>96%</w:t>
            </w:r>
          </w:p>
        </w:tc>
        <w:tc>
          <w:tcPr>
            <w:tcW w:w="5655" w:type="dxa"/>
            <w:shd w:val="clear" w:color="auto" w:fill="auto"/>
            <w:vAlign w:val="center"/>
          </w:tcPr>
          <w:p w:rsidR="00606A6A" w:rsidRPr="00E318D3" w:rsidRDefault="00606A6A" w:rsidP="00E3152B">
            <w:pPr>
              <w:tabs>
                <w:tab w:val="left" w:pos="1843"/>
              </w:tabs>
              <w:jc w:val="center"/>
              <w:rPr>
                <w:rFonts w:cs="Arial"/>
                <w:sz w:val="20"/>
              </w:rPr>
            </w:pPr>
            <w:r>
              <w:rPr>
                <w:rFonts w:cs="Arial"/>
                <w:sz w:val="20"/>
              </w:rPr>
              <w:t>Target exceeded</w:t>
            </w:r>
          </w:p>
        </w:tc>
      </w:tr>
    </w:tbl>
    <w:p w:rsidR="00606A6A" w:rsidRPr="00BB0F20" w:rsidRDefault="00606A6A" w:rsidP="00606A6A">
      <w:pPr>
        <w:rPr>
          <w:sz w:val="20"/>
        </w:rPr>
      </w:pPr>
    </w:p>
    <w:p w:rsidR="00606A6A" w:rsidRPr="00BB0F20" w:rsidRDefault="00606A6A" w:rsidP="00606A6A">
      <w:pPr>
        <w:ind w:left="-426"/>
        <w:rPr>
          <w:sz w:val="20"/>
        </w:rPr>
      </w:pPr>
    </w:p>
    <w:p w:rsidR="00606A6A" w:rsidRPr="00BB0F20" w:rsidRDefault="00606A6A" w:rsidP="00606A6A">
      <w:pPr>
        <w:ind w:left="-426"/>
        <w:rPr>
          <w:sz w:val="20"/>
        </w:rPr>
      </w:pPr>
      <w:r w:rsidRPr="00BB0F20">
        <w:rPr>
          <w:sz w:val="20"/>
        </w:rPr>
        <w:t xml:space="preserve">SS = Shared Services </w:t>
      </w:r>
    </w:p>
    <w:p w:rsidR="00606A6A" w:rsidRPr="00BB0F20" w:rsidRDefault="00606A6A" w:rsidP="00606A6A">
      <w:pPr>
        <w:ind w:left="-426"/>
        <w:rPr>
          <w:sz w:val="20"/>
        </w:rPr>
      </w:pPr>
      <w:r w:rsidRPr="00BB0F20">
        <w:rPr>
          <w:sz w:val="20"/>
        </w:rPr>
        <w:t>SRBC = South Ribble</w:t>
      </w:r>
    </w:p>
    <w:p w:rsidR="00606A6A" w:rsidRPr="00DD536A" w:rsidRDefault="00606A6A" w:rsidP="00606A6A">
      <w:pPr>
        <w:rPr>
          <w:rFonts w:ascii="Courier New" w:hAnsi="Courier New" w:cs="Courier New"/>
          <w:szCs w:val="22"/>
        </w:rPr>
      </w:pPr>
    </w:p>
    <w:p w:rsidR="00414C88" w:rsidRDefault="00414C88" w:rsidP="001C5E49">
      <w:pPr>
        <w:tabs>
          <w:tab w:val="left" w:pos="2839"/>
        </w:tabs>
        <w:rPr>
          <w:rFonts w:cs="Arial"/>
        </w:rPr>
      </w:pPr>
    </w:p>
    <w:p w:rsidR="00146728" w:rsidRDefault="00146728" w:rsidP="001C5E49">
      <w:pPr>
        <w:tabs>
          <w:tab w:val="left" w:pos="2839"/>
        </w:tabs>
        <w:rPr>
          <w:rFonts w:cs="Arial"/>
        </w:rPr>
      </w:pPr>
    </w:p>
    <w:p w:rsidR="00146728" w:rsidRDefault="00146728" w:rsidP="001C5E49">
      <w:pPr>
        <w:tabs>
          <w:tab w:val="left" w:pos="2839"/>
        </w:tabs>
        <w:rPr>
          <w:rFonts w:cs="Arial"/>
        </w:rPr>
      </w:pPr>
    </w:p>
    <w:p w:rsidR="00146728" w:rsidRPr="00280995" w:rsidRDefault="00146728" w:rsidP="00897772">
      <w:pPr>
        <w:tabs>
          <w:tab w:val="left" w:pos="2839"/>
        </w:tabs>
        <w:jc w:val="right"/>
        <w:rPr>
          <w:rFonts w:cs="Arial"/>
          <w:i/>
        </w:rPr>
      </w:pPr>
    </w:p>
    <w:sectPr w:rsidR="00146728" w:rsidRPr="00280995" w:rsidSect="00897772">
      <w:pgSz w:w="16838" w:h="11906" w:orient="landscape" w:code="9"/>
      <w:pgMar w:top="1134" w:right="1134" w:bottom="1134" w:left="9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463" w:rsidRDefault="00C50463">
      <w:r>
        <w:separator/>
      </w:r>
    </w:p>
  </w:endnote>
  <w:endnote w:type="continuationSeparator" w:id="0">
    <w:p w:rsidR="00C50463" w:rsidRDefault="00C5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7F" w:rsidRPr="00FD7B65" w:rsidRDefault="0008107F">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C50463">
      <w:rPr>
        <w:noProof/>
        <w:sz w:val="24"/>
      </w:rPr>
      <w:t>1</w:t>
    </w:r>
    <w:r w:rsidRPr="00FD7B65">
      <w:rPr>
        <w:noProof/>
        <w:sz w:val="24"/>
      </w:rPr>
      <w:fldChar w:fldCharType="end"/>
    </w:r>
  </w:p>
  <w:p w:rsidR="0008107F" w:rsidRDefault="00081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463" w:rsidRDefault="00C50463">
      <w:r>
        <w:separator/>
      </w:r>
    </w:p>
  </w:footnote>
  <w:footnote w:type="continuationSeparator" w:id="0">
    <w:p w:rsidR="00C50463" w:rsidRDefault="00C50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457249B"/>
    <w:multiLevelType w:val="hybridMultilevel"/>
    <w:tmpl w:val="186C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C21AF"/>
    <w:multiLevelType w:val="hybridMultilevel"/>
    <w:tmpl w:val="BEFC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185B06D2"/>
    <w:multiLevelType w:val="hybridMultilevel"/>
    <w:tmpl w:val="84148CAA"/>
    <w:lvl w:ilvl="0" w:tplc="F1F26074">
      <w:start w:val="1"/>
      <w:numFmt w:val="decimal"/>
      <w:lvlText w:val="%1."/>
      <w:lvlJc w:val="left"/>
      <w:pPr>
        <w:tabs>
          <w:tab w:val="num" w:pos="709"/>
        </w:tabs>
        <w:ind w:left="709" w:hanging="567"/>
      </w:pPr>
      <w:rPr>
        <w:rFonts w:ascii="Arial" w:hAnsi="Arial" w:cs="Arial"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23710F"/>
    <w:multiLevelType w:val="hybridMultilevel"/>
    <w:tmpl w:val="B4629906"/>
    <w:lvl w:ilvl="0" w:tplc="DCFC35D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384AEF"/>
    <w:multiLevelType w:val="hybridMultilevel"/>
    <w:tmpl w:val="E1F07094"/>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4" w15:restartNumberingAfterBreak="0">
    <w:nsid w:val="23D3003C"/>
    <w:multiLevelType w:val="hybridMultilevel"/>
    <w:tmpl w:val="D0420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D346C"/>
    <w:multiLevelType w:val="hybridMultilevel"/>
    <w:tmpl w:val="B5A4E5A0"/>
    <w:lvl w:ilvl="0" w:tplc="0809000F">
      <w:start w:val="1"/>
      <w:numFmt w:val="decimal"/>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6" w15:restartNumberingAfterBreak="0">
    <w:nsid w:val="268333EC"/>
    <w:multiLevelType w:val="multilevel"/>
    <w:tmpl w:val="9030F5AC"/>
    <w:lvl w:ilvl="0">
      <w:start w:val="6"/>
      <w:numFmt w:val="decimal"/>
      <w:lvlText w:val="%1."/>
      <w:lvlJc w:val="left"/>
      <w:pPr>
        <w:ind w:left="1449" w:hanging="360"/>
      </w:pPr>
      <w:rPr>
        <w:rFonts w:ascii="Arial" w:hAnsi="Arial" w:cs="Arial" w:hint="default"/>
        <w:b/>
      </w:rPr>
    </w:lvl>
    <w:lvl w:ilvl="1">
      <w:start w:val="2"/>
      <w:numFmt w:val="decimal"/>
      <w:isLgl/>
      <w:lvlText w:val="%1.%2"/>
      <w:lvlJc w:val="left"/>
      <w:pPr>
        <w:ind w:left="1809" w:hanging="720"/>
      </w:pPr>
      <w:rPr>
        <w:rFonts w:cs="Times New Roman" w:hint="default"/>
      </w:rPr>
    </w:lvl>
    <w:lvl w:ilvl="2">
      <w:start w:val="1"/>
      <w:numFmt w:val="decimal"/>
      <w:isLgl/>
      <w:lvlText w:val="%1.%2.%3"/>
      <w:lvlJc w:val="left"/>
      <w:pPr>
        <w:ind w:left="1809" w:hanging="720"/>
      </w:pPr>
      <w:rPr>
        <w:rFonts w:cs="Times New Roman" w:hint="default"/>
      </w:rPr>
    </w:lvl>
    <w:lvl w:ilvl="3">
      <w:start w:val="1"/>
      <w:numFmt w:val="decimal"/>
      <w:isLgl/>
      <w:lvlText w:val="%1.%2.%3.%4"/>
      <w:lvlJc w:val="left"/>
      <w:pPr>
        <w:ind w:left="1809" w:hanging="720"/>
      </w:pPr>
      <w:rPr>
        <w:rFonts w:cs="Times New Roman" w:hint="default"/>
      </w:rPr>
    </w:lvl>
    <w:lvl w:ilvl="4">
      <w:start w:val="1"/>
      <w:numFmt w:val="decimal"/>
      <w:isLgl/>
      <w:lvlText w:val="%1.%2.%3.%4.%5"/>
      <w:lvlJc w:val="left"/>
      <w:pPr>
        <w:ind w:left="2169" w:hanging="1080"/>
      </w:pPr>
      <w:rPr>
        <w:rFonts w:cs="Times New Roman" w:hint="default"/>
      </w:rPr>
    </w:lvl>
    <w:lvl w:ilvl="5">
      <w:start w:val="1"/>
      <w:numFmt w:val="decimal"/>
      <w:isLgl/>
      <w:lvlText w:val="%1.%2.%3.%4.%5.%6"/>
      <w:lvlJc w:val="left"/>
      <w:pPr>
        <w:ind w:left="2169" w:hanging="1080"/>
      </w:pPr>
      <w:rPr>
        <w:rFonts w:cs="Times New Roman" w:hint="default"/>
      </w:rPr>
    </w:lvl>
    <w:lvl w:ilvl="6">
      <w:start w:val="1"/>
      <w:numFmt w:val="decimal"/>
      <w:isLgl/>
      <w:lvlText w:val="%1.%2.%3.%4.%5.%6.%7"/>
      <w:lvlJc w:val="left"/>
      <w:pPr>
        <w:ind w:left="2529" w:hanging="1440"/>
      </w:pPr>
      <w:rPr>
        <w:rFonts w:cs="Times New Roman" w:hint="default"/>
      </w:rPr>
    </w:lvl>
    <w:lvl w:ilvl="7">
      <w:start w:val="1"/>
      <w:numFmt w:val="decimal"/>
      <w:isLgl/>
      <w:lvlText w:val="%1.%2.%3.%4.%5.%6.%7.%8"/>
      <w:lvlJc w:val="left"/>
      <w:pPr>
        <w:ind w:left="2529" w:hanging="1440"/>
      </w:pPr>
      <w:rPr>
        <w:rFonts w:cs="Times New Roman" w:hint="default"/>
      </w:rPr>
    </w:lvl>
    <w:lvl w:ilvl="8">
      <w:start w:val="1"/>
      <w:numFmt w:val="decimal"/>
      <w:isLgl/>
      <w:lvlText w:val="%1.%2.%3.%4.%5.%6.%7.%8.%9"/>
      <w:lvlJc w:val="left"/>
      <w:pPr>
        <w:ind w:left="2889" w:hanging="1800"/>
      </w:pPr>
      <w:rPr>
        <w:rFonts w:cs="Times New Roman" w:hint="default"/>
      </w:rPr>
    </w:lvl>
  </w:abstractNum>
  <w:abstractNum w:abstractNumId="17"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CD04B6"/>
    <w:multiLevelType w:val="hybridMultilevel"/>
    <w:tmpl w:val="E37A5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6C0A5A"/>
    <w:multiLevelType w:val="hybridMultilevel"/>
    <w:tmpl w:val="300CC1D4"/>
    <w:lvl w:ilvl="0" w:tplc="AF70016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EF9655A"/>
    <w:multiLevelType w:val="hybridMultilevel"/>
    <w:tmpl w:val="D56A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6" w15:restartNumberingAfterBreak="0">
    <w:nsid w:val="76C076D2"/>
    <w:multiLevelType w:val="hybridMultilevel"/>
    <w:tmpl w:val="5FE6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4"/>
  </w:num>
  <w:num w:numId="4">
    <w:abstractNumId w:val="12"/>
  </w:num>
  <w:num w:numId="5">
    <w:abstractNumId w:val="20"/>
  </w:num>
  <w:num w:numId="6">
    <w:abstractNumId w:val="8"/>
  </w:num>
  <w:num w:numId="7">
    <w:abstractNumId w:val="6"/>
  </w:num>
  <w:num w:numId="8">
    <w:abstractNumId w:val="7"/>
  </w:num>
  <w:num w:numId="9">
    <w:abstractNumId w:val="3"/>
  </w:num>
  <w:num w:numId="10">
    <w:abstractNumId w:val="4"/>
  </w:num>
  <w:num w:numId="11">
    <w:abstractNumId w:val="5"/>
  </w:num>
  <w:num w:numId="12">
    <w:abstractNumId w:val="17"/>
  </w:num>
  <w:num w:numId="13">
    <w:abstractNumId w:val="0"/>
  </w:num>
  <w:num w:numId="14">
    <w:abstractNumId w:val="25"/>
  </w:num>
  <w:num w:numId="15">
    <w:abstractNumId w:val="9"/>
  </w:num>
  <w:num w:numId="16">
    <w:abstractNumId w:val="14"/>
  </w:num>
  <w:num w:numId="17">
    <w:abstractNumId w:val="23"/>
  </w:num>
  <w:num w:numId="18">
    <w:abstractNumId w:val="2"/>
  </w:num>
  <w:num w:numId="19">
    <w:abstractNumId w:val="22"/>
  </w:num>
  <w:num w:numId="20">
    <w:abstractNumId w:val="26"/>
  </w:num>
  <w:num w:numId="21">
    <w:abstractNumId w:val="1"/>
  </w:num>
  <w:num w:numId="22">
    <w:abstractNumId w:val="11"/>
  </w:num>
  <w:num w:numId="23">
    <w:abstractNumId w:val="15"/>
  </w:num>
  <w:num w:numId="24">
    <w:abstractNumId w:val="16"/>
  </w:num>
  <w:num w:numId="25">
    <w:abstractNumId w:val="19"/>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276C1"/>
    <w:rsid w:val="000306A5"/>
    <w:rsid w:val="00031098"/>
    <w:rsid w:val="000536DC"/>
    <w:rsid w:val="0005614E"/>
    <w:rsid w:val="00061F3D"/>
    <w:rsid w:val="0008107F"/>
    <w:rsid w:val="000A5A93"/>
    <w:rsid w:val="000B5251"/>
    <w:rsid w:val="000B5FF5"/>
    <w:rsid w:val="000E10FE"/>
    <w:rsid w:val="000E3F69"/>
    <w:rsid w:val="000F2C8A"/>
    <w:rsid w:val="000F3953"/>
    <w:rsid w:val="001007CC"/>
    <w:rsid w:val="0010088B"/>
    <w:rsid w:val="00146728"/>
    <w:rsid w:val="001518A7"/>
    <w:rsid w:val="00152B71"/>
    <w:rsid w:val="001544DD"/>
    <w:rsid w:val="00184E1D"/>
    <w:rsid w:val="001938D6"/>
    <w:rsid w:val="001A19B5"/>
    <w:rsid w:val="001C5E49"/>
    <w:rsid w:val="002221BD"/>
    <w:rsid w:val="00224955"/>
    <w:rsid w:val="0025591B"/>
    <w:rsid w:val="00256B49"/>
    <w:rsid w:val="00280995"/>
    <w:rsid w:val="002820A5"/>
    <w:rsid w:val="00290A91"/>
    <w:rsid w:val="002B19D3"/>
    <w:rsid w:val="002E4FF4"/>
    <w:rsid w:val="002F5C5E"/>
    <w:rsid w:val="00342AB1"/>
    <w:rsid w:val="00345C71"/>
    <w:rsid w:val="0036063D"/>
    <w:rsid w:val="00386AAD"/>
    <w:rsid w:val="003902A2"/>
    <w:rsid w:val="00391D21"/>
    <w:rsid w:val="003A1B3F"/>
    <w:rsid w:val="003A23D3"/>
    <w:rsid w:val="003A2919"/>
    <w:rsid w:val="003A5D07"/>
    <w:rsid w:val="003B1E6D"/>
    <w:rsid w:val="003C09F2"/>
    <w:rsid w:val="003C36EB"/>
    <w:rsid w:val="003E33E6"/>
    <w:rsid w:val="003F5603"/>
    <w:rsid w:val="00405D4A"/>
    <w:rsid w:val="00414C88"/>
    <w:rsid w:val="004218EA"/>
    <w:rsid w:val="00442C46"/>
    <w:rsid w:val="00457D3A"/>
    <w:rsid w:val="00474DA8"/>
    <w:rsid w:val="0047741D"/>
    <w:rsid w:val="004A45D4"/>
    <w:rsid w:val="004A68B9"/>
    <w:rsid w:val="004C257A"/>
    <w:rsid w:val="004D7260"/>
    <w:rsid w:val="004F23B3"/>
    <w:rsid w:val="004F34DE"/>
    <w:rsid w:val="005041BB"/>
    <w:rsid w:val="00523584"/>
    <w:rsid w:val="00525728"/>
    <w:rsid w:val="00531A21"/>
    <w:rsid w:val="00532ADF"/>
    <w:rsid w:val="00533525"/>
    <w:rsid w:val="0054286E"/>
    <w:rsid w:val="00547120"/>
    <w:rsid w:val="00547481"/>
    <w:rsid w:val="00576A82"/>
    <w:rsid w:val="00595BC7"/>
    <w:rsid w:val="005A26AD"/>
    <w:rsid w:val="005B0C36"/>
    <w:rsid w:val="005D4F59"/>
    <w:rsid w:val="0060374B"/>
    <w:rsid w:val="00606A6A"/>
    <w:rsid w:val="00630F86"/>
    <w:rsid w:val="00633396"/>
    <w:rsid w:val="00642C5F"/>
    <w:rsid w:val="00645A0B"/>
    <w:rsid w:val="006555E6"/>
    <w:rsid w:val="006879CA"/>
    <w:rsid w:val="00695B02"/>
    <w:rsid w:val="006B645E"/>
    <w:rsid w:val="006B7116"/>
    <w:rsid w:val="006C04C1"/>
    <w:rsid w:val="006C209A"/>
    <w:rsid w:val="006E09FB"/>
    <w:rsid w:val="006F021C"/>
    <w:rsid w:val="006F2214"/>
    <w:rsid w:val="006F76A3"/>
    <w:rsid w:val="007043E2"/>
    <w:rsid w:val="00707E99"/>
    <w:rsid w:val="00712E3F"/>
    <w:rsid w:val="007330F6"/>
    <w:rsid w:val="0075544B"/>
    <w:rsid w:val="007633E6"/>
    <w:rsid w:val="00772B9C"/>
    <w:rsid w:val="00785858"/>
    <w:rsid w:val="00792A2B"/>
    <w:rsid w:val="00842374"/>
    <w:rsid w:val="00851200"/>
    <w:rsid w:val="00865AC0"/>
    <w:rsid w:val="0089017D"/>
    <w:rsid w:val="00893AD2"/>
    <w:rsid w:val="00897772"/>
    <w:rsid w:val="008A2F6B"/>
    <w:rsid w:val="008A42E3"/>
    <w:rsid w:val="008A5FD0"/>
    <w:rsid w:val="008A77AB"/>
    <w:rsid w:val="008B41C5"/>
    <w:rsid w:val="008C3B1A"/>
    <w:rsid w:val="008D623F"/>
    <w:rsid w:val="008E76B5"/>
    <w:rsid w:val="008F4B91"/>
    <w:rsid w:val="0090542C"/>
    <w:rsid w:val="009350CB"/>
    <w:rsid w:val="009538AE"/>
    <w:rsid w:val="00955035"/>
    <w:rsid w:val="00961FC6"/>
    <w:rsid w:val="00980267"/>
    <w:rsid w:val="00983CD5"/>
    <w:rsid w:val="00992E79"/>
    <w:rsid w:val="009A714A"/>
    <w:rsid w:val="009C1143"/>
    <w:rsid w:val="009D052B"/>
    <w:rsid w:val="009E48E0"/>
    <w:rsid w:val="00A1406A"/>
    <w:rsid w:val="00A22D02"/>
    <w:rsid w:val="00A30426"/>
    <w:rsid w:val="00A4702E"/>
    <w:rsid w:val="00A50754"/>
    <w:rsid w:val="00A56681"/>
    <w:rsid w:val="00A6792B"/>
    <w:rsid w:val="00A70533"/>
    <w:rsid w:val="00A76482"/>
    <w:rsid w:val="00A77C06"/>
    <w:rsid w:val="00A95E9C"/>
    <w:rsid w:val="00AC4A99"/>
    <w:rsid w:val="00AC52F6"/>
    <w:rsid w:val="00AD33C1"/>
    <w:rsid w:val="00AE6994"/>
    <w:rsid w:val="00B049BA"/>
    <w:rsid w:val="00B05FE8"/>
    <w:rsid w:val="00B1788B"/>
    <w:rsid w:val="00B443DD"/>
    <w:rsid w:val="00B51DB8"/>
    <w:rsid w:val="00B62D79"/>
    <w:rsid w:val="00B6447C"/>
    <w:rsid w:val="00B70B91"/>
    <w:rsid w:val="00B716F5"/>
    <w:rsid w:val="00B72A06"/>
    <w:rsid w:val="00B766C4"/>
    <w:rsid w:val="00B92298"/>
    <w:rsid w:val="00B92A58"/>
    <w:rsid w:val="00BA2606"/>
    <w:rsid w:val="00BC6635"/>
    <w:rsid w:val="00BD6A9F"/>
    <w:rsid w:val="00BE2A3F"/>
    <w:rsid w:val="00BF60F7"/>
    <w:rsid w:val="00C022F9"/>
    <w:rsid w:val="00C209E3"/>
    <w:rsid w:val="00C24734"/>
    <w:rsid w:val="00C24998"/>
    <w:rsid w:val="00C30128"/>
    <w:rsid w:val="00C50463"/>
    <w:rsid w:val="00C52450"/>
    <w:rsid w:val="00C52A6A"/>
    <w:rsid w:val="00C562EA"/>
    <w:rsid w:val="00C64ED1"/>
    <w:rsid w:val="00C66BAA"/>
    <w:rsid w:val="00C903AC"/>
    <w:rsid w:val="00C93353"/>
    <w:rsid w:val="00CA1F15"/>
    <w:rsid w:val="00CB32DF"/>
    <w:rsid w:val="00CB4E93"/>
    <w:rsid w:val="00CC3246"/>
    <w:rsid w:val="00CE3DA1"/>
    <w:rsid w:val="00CE4482"/>
    <w:rsid w:val="00CF4582"/>
    <w:rsid w:val="00CF6B60"/>
    <w:rsid w:val="00D03328"/>
    <w:rsid w:val="00D35F86"/>
    <w:rsid w:val="00D36638"/>
    <w:rsid w:val="00D37BAE"/>
    <w:rsid w:val="00D54630"/>
    <w:rsid w:val="00D711BE"/>
    <w:rsid w:val="00D772AB"/>
    <w:rsid w:val="00D90A00"/>
    <w:rsid w:val="00D91845"/>
    <w:rsid w:val="00D91D8A"/>
    <w:rsid w:val="00D9371C"/>
    <w:rsid w:val="00DB25A7"/>
    <w:rsid w:val="00DB3FD0"/>
    <w:rsid w:val="00DE5E12"/>
    <w:rsid w:val="00E004F4"/>
    <w:rsid w:val="00E2196F"/>
    <w:rsid w:val="00E2276E"/>
    <w:rsid w:val="00E3152B"/>
    <w:rsid w:val="00E41950"/>
    <w:rsid w:val="00E569CB"/>
    <w:rsid w:val="00E577A2"/>
    <w:rsid w:val="00E60A53"/>
    <w:rsid w:val="00E63940"/>
    <w:rsid w:val="00E658CC"/>
    <w:rsid w:val="00E733A5"/>
    <w:rsid w:val="00E753EC"/>
    <w:rsid w:val="00E84459"/>
    <w:rsid w:val="00E971A2"/>
    <w:rsid w:val="00EB2D32"/>
    <w:rsid w:val="00EB7C94"/>
    <w:rsid w:val="00EC4CAA"/>
    <w:rsid w:val="00ED257A"/>
    <w:rsid w:val="00F3057A"/>
    <w:rsid w:val="00F30E9C"/>
    <w:rsid w:val="00F43895"/>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semiHidden/>
    <w:unhideWhenUsed/>
    <w:qFormat/>
    <w:rsid w:val="004F34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customStyle="1" w:styleId="Heading2Char">
    <w:name w:val="Heading 2 Char"/>
    <w:basedOn w:val="DefaultParagraphFont"/>
    <w:link w:val="Heading2"/>
    <w:uiPriority w:val="9"/>
    <w:semiHidden/>
    <w:rsid w:val="004F34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97186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lpha\assurance$\audit\SHARED%20AUDIT%20SERVICE\AUDIT\Audit%20Planning\2017%20-%202018\Annual%20Pl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FFC000"/>
              </a:solidFill>
              <a:ln w="25400">
                <a:solidFill>
                  <a:schemeClr val="lt1"/>
                </a:solidFill>
              </a:ln>
              <a:effectLst/>
              <a:sp3d contourW="25400">
                <a:contourClr>
                  <a:schemeClr val="lt1"/>
                </a:contourClr>
              </a:sp3d>
            </c:spPr>
          </c:dPt>
          <c:dPt>
            <c:idx val="1"/>
            <c:bubble3D val="0"/>
            <c:spPr>
              <a:solidFill>
                <a:srgbClr val="FFC000"/>
              </a:solidFill>
              <a:ln w="25400">
                <a:solidFill>
                  <a:schemeClr val="lt1"/>
                </a:solidFill>
              </a:ln>
              <a:effectLst/>
              <a:sp3d contourW="25400">
                <a:contourClr>
                  <a:schemeClr val="lt1"/>
                </a:contourClr>
              </a:sp3d>
            </c:spPr>
          </c:dPt>
          <c:dPt>
            <c:idx val="2"/>
            <c:bubble3D val="0"/>
            <c:spPr>
              <a:solidFill>
                <a:srgbClr val="FFC000"/>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rgbClr val="FFC000"/>
              </a:solidFill>
              <a:ln w="25400">
                <a:solidFill>
                  <a:schemeClr val="lt1"/>
                </a:solidFill>
              </a:ln>
              <a:effectLst/>
              <a:sp3d contourW="25400">
                <a:contourClr>
                  <a:schemeClr val="lt1"/>
                </a:contourClr>
              </a:sp3d>
            </c:spPr>
          </c:dPt>
          <c:dPt>
            <c:idx val="5"/>
            <c:bubble3D val="0"/>
            <c:spPr>
              <a:solidFill>
                <a:srgbClr val="FFC000"/>
              </a:solidFill>
              <a:ln w="25400">
                <a:solidFill>
                  <a:schemeClr val="lt1"/>
                </a:solidFill>
              </a:ln>
              <a:effectLst/>
              <a:sp3d contourW="25400">
                <a:contourClr>
                  <a:schemeClr val="lt1"/>
                </a:contourClr>
              </a:sp3d>
            </c:spPr>
          </c:dPt>
          <c:dPt>
            <c:idx val="6"/>
            <c:bubble3D val="0"/>
            <c:spPr>
              <a:solidFill>
                <a:srgbClr val="FFC000"/>
              </a:solidFill>
              <a:ln w="25400">
                <a:solidFill>
                  <a:schemeClr val="lt1"/>
                </a:solidFill>
              </a:ln>
              <a:effectLst/>
              <a:sp3d contourW="25400">
                <a:contourClr>
                  <a:schemeClr val="lt1"/>
                </a:contourClr>
              </a:sp3d>
            </c:spPr>
          </c:dPt>
          <c:dPt>
            <c:idx val="7"/>
            <c:bubble3D val="0"/>
            <c:spPr>
              <a:solidFill>
                <a:srgbClr val="FFC000"/>
              </a:solidFill>
              <a:ln w="25400">
                <a:solidFill>
                  <a:schemeClr val="lt1"/>
                </a:solidFill>
              </a:ln>
              <a:effectLst/>
              <a:sp3d contourW="25400">
                <a:contourClr>
                  <a:schemeClr val="lt1"/>
                </a:contourClr>
              </a:sp3d>
            </c:spPr>
          </c:dPt>
          <c:dPt>
            <c:idx val="8"/>
            <c:bubble3D val="0"/>
            <c:spPr>
              <a:solidFill>
                <a:srgbClr val="FFC000"/>
              </a:solidFill>
              <a:ln w="25400">
                <a:solidFill>
                  <a:schemeClr val="lt1"/>
                </a:solidFill>
              </a:ln>
              <a:effectLst/>
              <a:sp3d contourW="25400">
                <a:contourClr>
                  <a:schemeClr val="lt1"/>
                </a:contourClr>
              </a:sp3d>
            </c:spPr>
          </c:dPt>
          <c:dPt>
            <c:idx val="9"/>
            <c:bubble3D val="0"/>
            <c:spPr>
              <a:solidFill>
                <a:srgbClr val="FFC000"/>
              </a:solidFill>
              <a:ln w="25400">
                <a:solidFill>
                  <a:schemeClr val="lt1"/>
                </a:solidFill>
              </a:ln>
              <a:effectLst/>
              <a:sp3d contourW="25400">
                <a:contourClr>
                  <a:schemeClr val="lt1"/>
                </a:contourClr>
              </a:sp3d>
            </c:spPr>
          </c:dPt>
          <c:dPt>
            <c:idx val="10"/>
            <c:bubble3D val="0"/>
            <c:spPr>
              <a:solidFill>
                <a:srgbClr val="FFC000"/>
              </a:solidFill>
              <a:ln w="25400">
                <a:solidFill>
                  <a:schemeClr val="lt1"/>
                </a:solidFill>
              </a:ln>
              <a:effectLst/>
              <a:sp3d contourW="25400">
                <a:contourClr>
                  <a:schemeClr val="lt1"/>
                </a:contourClr>
              </a:sp3d>
            </c:spPr>
          </c:dPt>
          <c:dPt>
            <c:idx val="11"/>
            <c:bubble3D val="0"/>
            <c:spPr>
              <a:solidFill>
                <a:srgbClr val="FFC000"/>
              </a:solidFill>
              <a:ln w="25400">
                <a:solidFill>
                  <a:schemeClr val="lt1"/>
                </a:solidFill>
              </a:ln>
              <a:effectLst/>
              <a:sp3d contourW="25400">
                <a:contourClr>
                  <a:schemeClr val="lt1"/>
                </a:contourClr>
              </a:sp3d>
            </c:spPr>
          </c:dPt>
          <c:dLbls>
            <c:dLbl>
              <c:idx val="0"/>
              <c:layout>
                <c:manualLayout>
                  <c:x val="-9.014084507042254E-2"/>
                  <c:y val="-1.6867467745948501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Performance Management</a:t>
                    </a:r>
                  </a:p>
                </c:rich>
              </c:tx>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21889201877934272"/>
                      <c:h val="7.867279149065029E-2"/>
                    </c:manualLayout>
                  </c15:layout>
                </c:ext>
              </c:extLst>
            </c:dLbl>
            <c:dLbl>
              <c:idx val="1"/>
              <c:layout>
                <c:manualLayout>
                  <c:x val="1.7430778899116483E-3"/>
                  <c:y val="-5.6224781807572739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Recruitment</a:t>
                    </a:r>
                    <a:r>
                      <a:rPr lang="en-US" baseline="0"/>
                      <a:t> &amp; Selection</a:t>
                    </a:r>
                    <a:endParaRPr lang="en-US"/>
                  </a:p>
                </c:rich>
              </c:tx>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20950234741784038"/>
                      <c:h val="8.4295280739299774E-2"/>
                    </c:manualLayout>
                  </c15:layout>
                </c:ext>
              </c:extLst>
            </c:dLbl>
            <c:dLbl>
              <c:idx val="2"/>
              <c:layout>
                <c:manualLayout>
                  <c:x val="-7.3934420169309823E-8"/>
                  <c:y val="-1.8273090058110862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Private Sector Housing</a:t>
                    </a:r>
                    <a:r>
                      <a:rPr lang="en-US" baseline="0"/>
                      <a:t> Grants</a:t>
                    </a:r>
                    <a:endParaRPr lang="en-US"/>
                  </a:p>
                </c:rich>
              </c:tx>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16175268936453363"/>
                      <c:h val="8.1484036114975039E-2"/>
                    </c:manualLayout>
                  </c15:layout>
                </c:ext>
              </c:extLst>
            </c:dLbl>
            <c:dLbl>
              <c:idx val="3"/>
              <c:layout>
                <c:manualLayout>
                  <c:x val="-3.7557946101807699E-3"/>
                  <c:y val="-0.12931725271893846"/>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Council</a:t>
                    </a:r>
                    <a:r>
                      <a:rPr lang="en-US" baseline="0"/>
                      <a:t> Tax</a:t>
                    </a:r>
                    <a:endParaRPr lang="en-US"/>
                  </a:p>
                </c:rich>
              </c:tx>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7.9924882629107963E-2"/>
                      <c:h val="0.11240772698254727"/>
                    </c:manualLayout>
                  </c15:layout>
                </c:ext>
              </c:extLst>
            </c:dLbl>
            <c:dLbl>
              <c:idx val="4"/>
              <c:tx>
                <c:rich>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Non</a:t>
                    </a:r>
                    <a:r>
                      <a:rPr lang="en-US" baseline="0"/>
                      <a:t> Domestic Rates</a:t>
                    </a:r>
                    <a:endParaRPr lang="en-US"/>
                  </a:p>
                </c:rich>
              </c:tx>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5"/>
              <c:layout>
                <c:manualLayout>
                  <c:x val="-6.0093896713615022E-2"/>
                  <c:y val="1.4056223121623636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Housing</a:t>
                    </a:r>
                    <a:r>
                      <a:rPr lang="en-US" baseline="0"/>
                      <a:t> Benefit</a:t>
                    </a:r>
                    <a:endParaRPr lang="en-US"/>
                  </a:p>
                </c:rich>
              </c:tx>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21701408450704227"/>
                      <c:h val="7.5861546866325541E-2"/>
                    </c:manualLayout>
                  </c15:layout>
                </c:ext>
              </c:extLst>
            </c:dLbl>
            <c:dLbl>
              <c:idx val="6"/>
              <c:tx>
                <c:rich>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Homelessness</a:t>
                    </a:r>
                  </a:p>
                </c:rich>
              </c:tx>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7"/>
              <c:layout>
                <c:manualLayout>
                  <c:x val="-3.7558685446009391E-2"/>
                  <c:y val="4.216866936487132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Sundry</a:t>
                    </a:r>
                    <a:r>
                      <a:rPr lang="en-US" baseline="0"/>
                      <a:t> Debtors</a:t>
                    </a:r>
                    <a:endParaRPr lang="en-US"/>
                  </a:p>
                </c:rich>
              </c:tx>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1156056338028169"/>
                      <c:h val="0.10678523773389777"/>
                    </c:manualLayout>
                  </c15:layout>
                </c:ext>
              </c:extLst>
            </c:dLbl>
            <c:dLbl>
              <c:idx val="8"/>
              <c:layout>
                <c:manualLayout>
                  <c:x val="8.1697610998459181E-8"/>
                  <c:y val="-6.8742702198563627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Payroll</a:t>
                    </a:r>
                  </a:p>
                  <a:p>
                    <a:pPr>
                      <a:defRPr/>
                    </a:pPr>
                    <a:endParaRPr lang="en-US"/>
                  </a:p>
                </c:rich>
              </c:tx>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11184974828966049"/>
                      <c:h val="7.5017319912481173E-2"/>
                    </c:manualLayout>
                  </c15:layout>
                </c:ext>
              </c:extLst>
            </c:dLbl>
            <c:dLbl>
              <c:idx val="9"/>
              <c:layout>
                <c:manualLayout>
                  <c:x val="-1.9718309859154931E-2"/>
                  <c:y val="-2.8112446243247456E-3"/>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Treasury Management</a:t>
                    </a:r>
                  </a:p>
                </c:rich>
              </c:tx>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13062910798122065"/>
                      <c:h val="0.11240772698254727"/>
                    </c:manualLayout>
                  </c15:layout>
                </c:ext>
              </c:extLst>
            </c:dLbl>
            <c:dLbl>
              <c:idx val="10"/>
              <c:layout>
                <c:manualLayout>
                  <c:x val="7.1361502347417824E-2"/>
                  <c:y val="-1.9678712370273237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Creditors</a:t>
                    </a:r>
                  </a:p>
                </c:rich>
              </c:tx>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17006572769953052"/>
                      <c:h val="7.3050302242000792E-2"/>
                    </c:manualLayout>
                  </c15:layout>
                </c:ext>
              </c:extLst>
            </c:dLbl>
            <c:dLbl>
              <c:idx val="11"/>
              <c:layout>
                <c:manualLayout>
                  <c:x val="6.1971904920335663E-2"/>
                  <c:y val="-1.6867357067026283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Risk Management</a:t>
                    </a:r>
                  </a:p>
                </c:rich>
              </c:tx>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14940845070422534"/>
                      <c:h val="8.4295280739299774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Sheet4!$A$2:$A$13</c:f>
              <c:strCache>
                <c:ptCount val="12"/>
                <c:pt idx="0">
                  <c:v>Performance Management</c:v>
                </c:pt>
                <c:pt idx="1">
                  <c:v>Recruitment &amp; Selection </c:v>
                </c:pt>
                <c:pt idx="2">
                  <c:v>Private Sector Housing Grant</c:v>
                </c:pt>
                <c:pt idx="3">
                  <c:v>Council Tax</c:v>
                </c:pt>
                <c:pt idx="4">
                  <c:v>NNDR</c:v>
                </c:pt>
                <c:pt idx="5">
                  <c:v>Housing Benefits</c:v>
                </c:pt>
                <c:pt idx="6">
                  <c:v>Sundry Debtors</c:v>
                </c:pt>
                <c:pt idx="7">
                  <c:v>Homelessness</c:v>
                </c:pt>
                <c:pt idx="8">
                  <c:v>Treasury Management</c:v>
                </c:pt>
                <c:pt idx="9">
                  <c:v>Payroll</c:v>
                </c:pt>
                <c:pt idx="10">
                  <c:v>Creditor</c:v>
                </c:pt>
                <c:pt idx="11">
                  <c:v>Risk Management</c:v>
                </c:pt>
              </c:strCache>
            </c:strRef>
          </c:cat>
          <c:val>
            <c:numRef>
              <c:f>Sheet4!$B$2:$B$13</c:f>
              <c:numCache>
                <c:formatCode>General</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dLbls>
          <c:showLegendKey val="0"/>
          <c:showVal val="0"/>
          <c:showCatName val="0"/>
          <c:showSerName val="0"/>
          <c:showPercent val="0"/>
          <c:showBubbleSize val="0"/>
          <c:showLeaderLines val="1"/>
        </c:dLbls>
      </c:pie3DChart>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72F3D-8875-4197-933C-CE6B25D2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178</TotalTime>
  <Pages>2</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21783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Highton, Dawn</cp:lastModifiedBy>
  <cp:revision>7</cp:revision>
  <cp:lastPrinted>2018-05-02T08:15:00Z</cp:lastPrinted>
  <dcterms:created xsi:type="dcterms:W3CDTF">2018-05-02T10:34:00Z</dcterms:created>
  <dcterms:modified xsi:type="dcterms:W3CDTF">2018-05-18T13:33:00Z</dcterms:modified>
</cp:coreProperties>
</file>